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136 vom 12. Januar 2011</w:t>
      </w:r>
    </w:p>
    <w:p>
      <w:r>
        <w:t>VD Tribunal cantonal, 2011-01-12, FR</w:t>
      </w:r>
    </w:p>
    <w:p>
      <w:r>
        <w:rPr>
          <w:b/>
        </w:rPr>
        <w:t xml:space="preserve">Quelle: </w:t>
      </w:r>
      <w:r>
        <w:t>https://mcp.opencaselaw.ch/entscheid/vd_findinfo_HC___2011___136</w:t>
      </w:r>
    </w:p>
    <w:p>
      <w:r>
        <w:t>FR: VD_FINDINFO HC / 2011 / 136 du 12 janvier 2011</w:t>
      </w:r>
    </w:p>
    <w:p>
      <w:r>
        <w:t>IT: VD_FINDINFO HC / 2011 / 136 del 12 gennaio 2011</w:t>
      </w:r>
    </w:p>
    <w:p>
      <w:pPr>
        <w:pStyle w:val="Heading2"/>
      </w:pPr>
      <w:r>
        <w:t>Regeste</w:t>
      </w:r>
    </w:p>
    <w:p>
      <w:r>
        <w:t>OBLIGATION DE CHIFFRER LES CONCLUSIONS, CONCLUSIONS | 3 CPC</w:t>
      </w:r>
    </w:p>
    <w:p>
      <w:pPr>
        <w:pStyle w:val="Heading2"/>
      </w:pPr>
      <w:r>
        <w:t>Erwägungen</w:t>
      </w:r>
    </w:p>
    <w:p>
      <w:r>
        <w:rPr>
          <w:b/>
        </w:rPr>
        <w:t>E. 1</w:t>
      </w:r>
    </w:p>
    <w:p>
      <w:r>
        <w:t>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w:t>
      </w:r>
    </w:p>
    <w:p>
      <w:r>
        <w:rPr>
          <w:b/>
        </w:rPr>
        <w:t>E. 2</w:t>
      </w:r>
    </w:p>
    <w:p>
      <w:r>
        <w:t>Les conclusions en réforme du recours ne sont ni nouvelles ni plus amples que celles de la première instance. Elles sont recevables (art. 452 al. 1 CPC-VD [Code de procédure civile vaudois du 14 décembre 1966; RSV 270.11]).</w:t>
      </w:r>
    </w:p>
    <w:p>
      <w:r>
        <w:rPr>
          <w:b/>
        </w:rPr>
        <w:t>E. 3</w:t>
      </w:r>
    </w:p>
    <w:p>
      <w:r>
        <w:t>CPC-VD, p. 14). c) En l'espèce, les conclusions globales de la demande s'élèvent à 24'965 fr. (20'060 + 2'588.75 + 2'316.25), alors que la somme totale adjugée à l'intimé par le tribunal se monte à 5'731 fr. 35 (2'588.75 + 3'142.60), si bien que les premiers juges n'ont pas statué au-delà des conclusions en capital de la demande. Le moyen est donc infondé de ce seul point de vue déjà. Dès lors, point n'est besoin d'examiner encore la valeur litigieuse de la prétention en délivrance d'un certificat de travail (ATF 116 II 379 c. 2b), qui reste dans le cadre des conclusions globales.</w:t>
      </w:r>
    </w:p>
    <w:p>
      <w:r>
        <w:rPr>
          <w:b/>
        </w:rPr>
        <w:t>E. 4</w:t>
      </w:r>
    </w:p>
    <w:p>
      <w:r>
        <w:t>En définitive, le recours doit être rejeté, en application de l'art. 465 al. 1 CPC-VD, et le jugement confirmé. S'agissant d'un conflit du travail dont la valeur litigieuse ne dépasse pas 30'000 fr., le présent arrêt est rendu sans frais (art. 343 al. 2 et 3 CO, 10 al. 2 LJT et  235 TFJC [Tarif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Le greffier : Du 12 janvier 2011 Le dispositif de l'arrêt qui précède est communiqué par écrit aux intéressés. Le greffier : Du L'arrêt qui précède, dont la rédaction a été approuvée à huis clos, est notifié en expédition complète, par l'envoi de photocopies, à : ‑ M. Daniel Schwab, aab (pour E.________), ‑ M. Robert Fox, av. (pour T.________).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