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130 vom 12. Januar 2011</w:t>
      </w:r>
    </w:p>
    <w:p>
      <w:r>
        <w:t>VD Tribunal cantonal, 2011-01-12, FR</w:t>
      </w:r>
    </w:p>
    <w:p>
      <w:r>
        <w:rPr>
          <w:b/>
        </w:rPr>
        <w:t xml:space="preserve">Quelle: </w:t>
      </w:r>
      <w:r>
        <w:t>https://mcp.opencaselaw.ch/entscheid/vd_findinfo_HC___2011___130</w:t>
      </w:r>
    </w:p>
    <w:p>
      <w:r>
        <w:t>FR: VD_FINDINFO HC / 2011 / 130 du 12 janvier 2011</w:t>
      </w:r>
    </w:p>
    <w:p>
      <w:r>
        <w:t>IT: VD_FINDINFO HC / 2011 / 130 del 12 gennaio 2011</w:t>
      </w:r>
    </w:p>
    <w:p>
      <w:pPr>
        <w:pStyle w:val="Heading2"/>
      </w:pPr>
      <w:r>
        <w:t>Regeste</w:t>
      </w:r>
    </w:p>
    <w:p>
      <w:r>
        <w:t>DIVORCE, OBLIGATION D'ENTRETIEN, RECOURS JOINT, INDEXATION{MONTANT}, REVENU HYPOTHÉTIQUE | 125 CC, 128 CC, 159 al. 3 CC, 163 CC, 466 al. 1 CPC</w:t>
      </w:r>
    </w:p>
    <w:p>
      <w:pPr>
        <w:pStyle w:val="Heading2"/>
      </w:pPr>
      <w:r>
        <w:t>Erwägungen</w:t>
      </w:r>
    </w:p>
    <w:p>
      <w:r>
        <w:rPr>
          <w:b/>
        </w:rPr>
        <w:t>E. 1</w:t>
      </w:r>
    </w:p>
    <w:p>
      <w:r>
        <w:t>a) Les art. 444, 445 et 451 ch. 2 CPC-VD (Code de procédure civile vaudois du 14 décembre 1966, RSV 270.11, applicable au présent litige en vertu de l’art. 405 al. 1 CPC [Code de procédure civile suisse du 19 décembre 2008, RS 272]) ouvrent la voie des recours en nullité et en réforme contre les jugements principaux rendus par un tribunal d'arrondissement. L'art. 466 al. 1 CPC-VD ouvre la voie du recours joint, déposé dans le délai de mémoire de réponse. b) En l’espèce, les recours, uniquement en réforme et interjetés en temps utile, sont ainsi recevables.</w:t>
      </w:r>
    </w:p>
    <w:p>
      <w:r>
        <w:rPr>
          <w:b/>
        </w:rPr>
        <w:t>E. 2</w:t>
      </w:r>
    </w:p>
    <w:p>
      <w:r>
        <w:t>a) Saisi d'un recours en réforme contre un jugement principal rendu par un tribunal d'arrondissement, le Tribunal cantonal revoit librement la cause en fait et en droit (art. 452 al. 2 CPC-VD) ;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[Code civil suisse du 10 décembre 1907, RS 210], auquel renvoie l'art. 374c CPC-VD ; cf. JT 2006 III 8 c. 3b ; Leuenberger, Basler Kommentar, 3 ème éd., Bâle 2006, n. 2 ad art. 138 CC). b)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Sont litigieux en l'espèce le principe et le montant de l'entretien après divorce au sens de l'art. 125 CC alloué à l'ex-épouse. a)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 TF 5A_478/2010 du 20 décembre 2010 c. 4.1.1). Une contribution est due si le mariage a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(ATF 135 III 59 c. 4.1 et les arrêts cités). Un tel mariage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 4 ; TF 5A_478/2010 du 20 décembre 2010 c. 4.1.2). b) En l’espèce, compte tenu de la longue durée du mariage (vingt-deux ans), de l’existence d’une enfant commun et du fait que la recourante par voie de jonction n’a pas travaillé pendant une grande partie de la vie commune, il est manifeste que le mariage a influé sur sa situation économique. Le droit sur le principe à une contribution d’entretien est donc acquis, pour autant qu’elle soit nécessaire pour assurer à l’intéressée un entretien convenable, ce qu’il convient maintenant d’examiner.</w:t>
      </w:r>
    </w:p>
    <w:p>
      <w:r>
        <w:rPr>
          <w:b/>
        </w:rPr>
        <w:t>E. 4</w:t>
      </w:r>
    </w:p>
    <w:p>
      <w:r>
        <w:t>Le recourant soutient que son ex-épouse peut prétendre à un salaire plus élevé que les 2'000 fr. qu’elle annonce gagner en tant que gardienne d’enfants. a) Pour déterminer si on peut exiger du conjoint qui n’a pas travaillé qu'il reprenne une activité lucrative, il faut se fonder sur la date de la séparation définitive, à moins qu'il ait pu considérer en toute bonne foi qu’il ne devait pas (encore) se soucier de son propre revenu (TF 5C.320/2006 du 1 er février 2007 c. 5.6.2.2, in : FamPra.ch 2007 p.685 et les arrêts cités). Il existe en outre une présomption de fait selon laquelle il est déraisonnable d’exiger la reprise d’une activité lucrative à l’âge de quarante-cinq ans, même si cette limite d'âge ne doit pas être considérée comme une règle stricte (TF 5A_478/2010 du 20 décembre 2010 c. 4.2.2.2 et les arrêts cités). Il résulte du jugement entrepris que la recourante par voie de jonction, qui n’a aucune formation professionnelle, avait trente-huit ans lors de la séparation des parties et que, depuis lors, elle a alterné les périodes de chômage et les activités de garde d’enfants. Le principe de la reprise d’une activité lucrative n’est pas discuté, l’intéressée étant prête à travailler. La question est donc de savoir s’il est possible de lui imputer un revenu supérieur à celui réalisé. b) Pour fixer les contributions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Savoir si l'on peut raisonnablement exiger du débiteur une augmentation de son revenu est une question de droit ; en revanche, savoir quel revenu une personne a la possibilité effective de réaliser est une question de fait (ATF 128 III 4 c. 4 ; TF 5A_345/2010 du 24 juin 2010 c. 3.2.2 et les références citées). En l’espèce, la recourante par voie de jonction est une femme relativement jeune, mais sans grande expérience professionnelle ni formation, et qui a vécu de longues périodes de chômage avant de trouver un emploi. Selon la jurisprudence, il faut prendre en compte un revenu hypothétique si le débiteur est au chômage sans sa faute mais ne prouve pas ses efforts pour retrouver du travail (TF 5P.355/2005 du 5 janvier 2006, in : FamPra 2006 p. 433). Vu les efforts fournis et les difficultés rencontrées, il serait choquant d’admettre la possibilité d’obtenir un revenu supérieur à celui annoncé. L’argumentation du recourant principal doit donc être rejetée sur ce point.</w:t>
      </w:r>
    </w:p>
    <w:p>
      <w:r>
        <w:rPr>
          <w:b/>
        </w:rPr>
        <w:t>E. 5</w:t>
      </w:r>
    </w:p>
    <w:p>
      <w:r>
        <w:t>Reste à trancher la question de la quotité de la contribution d’entretien. a)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577 c. 3, JT 2009 I 272 ; ATF 134 III 145 c. 4 et références citées, JT 2009 I 153).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Cette jurisprudence a été nuancée (ATF 134 III 577, JT 2009 I 272 ; Leuba, Chroniques, Droit des personnes et de la famille, in : JT 2009 I 99, spéc. p. 105)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Dans tous les cas, le train de vie durant le mariage constitue la limite supérieure du droit à l'entretien. Si le divorce est prononcé à l'issue d'une longue séparation, c'est la situation pendant cette période qui est déterminante. A cet égard, le Tribunal fédéral a jugé insuffisante une séparation de 8 ans, exigeant une séparation d'environ dix ans (TF 5A_478/2010 du 20 décembre 2010 c. 4.2.1.1 et les arrêts cités). b) En l’espèce, compte tenu de la courte durée de la séparation (trois ans), le train de vie durant la vie commune constitue la limite supérieure du droit à l’entretien. Durant la vie commune, les parties ont vécu sur les seuls revenus du mari, sous réserve de l’aide apportée par l’ex-épouse au recourant dans le cadre d’un contrat de conciergerie à mi-temps entre 1997 et 2007 (cf. jugement p. 10). On ignore ce que rapportait cette conciergerie, mais on peut admettre que cela ne devait guère être inférieur aux 2'000 fr. désormais réalisés par la recourante par voie de jonction. Pour le surplus, le recourant principal travaille pour l’[...] depuis le 1 er septembre 2001. Dans une telle configuration, la méthode de la répartition de l’excédent par moitié telle qu’appliquée par les premiers juges paraît adéquate au vu de la jurisprudence précitée. Elle conduit à l’allocation d’une contribution d’entretien initiale de 1'500 francs. Cela étant, il y a lieu de tenir compte du fait que la recourante par voie de jonction sera vraisemblablement en mesure d’augmenter ses revenus à 3'000 fr. à moyen terme, soit en entreprenant une petite formation, telle une formation Croix-Rouge, soit en reprenant un emploi de vendeuse qu’elle avait déjà exercé auparavant. Il se justifie donc de réduire la contribution d’entretien à 1'000 fr. dans un délai de deux ans dès jugement définitif et exécutoire. Quoi qu’il en soit, l’impact du partage de la prévoyance professionnelle des parties sur le montant de la contribution d’entretien, plaidé par le recourant principal, n’a aucune influence sur la quotité de la pension, vu la modestie des montants concernés.</w:t>
      </w:r>
    </w:p>
    <w:p>
      <w:r>
        <w:rPr>
          <w:b/>
        </w:rPr>
        <w:t>E. 6</w:t>
      </w:r>
    </w:p>
    <w:p>
      <w:r>
        <w:t>La recourante par voie de jonction requiert l’indexation de la contribution d’entretien au coût de la vie. a) Aux termes de l'art. 128 CC, le juge peut décider que la contribution d'entretien sera augmentée ou réduite d'office en fonction de variations déterminées du coût de la vie. L'indexation d'une contribution d'entretien après divorce ne peut être ordonnée que si l'on peut s'attendre à ce que les revenus du débiteur soient régulièrement adaptés au coût de la vie (ATF 115 II 309 c. 1 ; TF 5C.171/2006 du 13 décembre 2006 c. 5.1 et les références citées). La convention ou le jugement qui fixent des contributions d'entretien doivent indiquer si et dans quelle mesure la rente doit être adaptée aux variations du coût de la vie (art. 143 ch. 4 CC). Selon la jurisprudence, les clauses d'indexation mettant à la charge du débirentier la preuve exonératoire que son revenu n'a pas augmenté dans la même mesure que le coût de la vie sont admissibles (ATF 127 III 289 c. 4a et les références citées ; TF 5A_141/2009 du 12 mai 2009 c. 2.4). b) En l’occurrence, s’agissant d’une contribution d’entretien allouée jusqu’à l’âge de la retraite, l’indexation au renchérissement de la vie est justifiée. La pension devra donc être indexée à l’indice des prix à la consommation dès le 1 er janvier 2012, pour autant que les revenus de l’ex-époux aient augmenté dans la même mesure, à charge pour lui de démontrer le contraire. Partant, le recours joint doit être admis.</w:t>
      </w:r>
    </w:p>
    <w:p>
      <w:r>
        <w:rPr>
          <w:b/>
        </w:rPr>
        <w:t>E. 7</w:t>
      </w:r>
    </w:p>
    <w:p>
      <w:r>
        <w:t>Le recourant principal conclut enfin à ce que les dépens de première instance soient mis à la charge de son ex-épouse. Vu l’issue du litige, les dépens alloués en première instance à la recourante par voie de jonction doivent être réduits d’un tiers (cf. art. 91 et 92 CPC-VD), le recours principal devant dès lors être admis dans ce sens.</w:t>
      </w:r>
    </w:p>
    <w:p>
      <w:r>
        <w:rPr>
          <w:b/>
        </w:rPr>
        <w:t>E. 8</w:t>
      </w:r>
    </w:p>
    <w:p>
      <w:r>
        <w:t>En définitive, le recours principal doit être partiellement admis et le recours joint admis dans le sens des considérants. Les frais de deuxième instance du recourant principal sont arrêtés à 800 fr. et ceux de la recourante par voie de jonction à 300 fr. (cf. art. 233 al. 1 et 2 TFJC [tarif du 4 décembre 1984 des frais judiciaires en matière civile, RSV 270.11.5]). Les deux parties obtiennent gain de cause. Le recourant principal l’emporte néanmoins dans une plus large mesure s’agissant, sinon du principe, de la quotité de la pension et peut donc prétendre à des dépens réduits de moitié, fixés à 1'000 fr., la question de l’indexation n’étant que relativement secondaire (cf. art. 91 et 92 CPC-VD). Par ces motifs, la Chambre des recours du Tribunal cantonal, statuant à huis clos, prononce : I. Le recours de A.X.________ est partiellement admis. II. Le recours joint de B.X.________, est admis. III. Le jugement entrepris est réformé comme il suit aux chiffres III et VIII de son dispositif et est complété par un chiffre III bis : III. dit que A.X.________ contribuera à l'entretien de B.X.________ par le régulier versement d'un montant de 1'500 fr. (mille cinq cents francs), payable d'avance le premier de chaque mois dès jugement définitif et exécutoire durant deux ans, le montant étant ensuite fixé à 1'000 francs (mille francs), jusqu'à ce que B.X.________ ait atteint l'âge de la retraite. III bis. dit que la pension prévue au chiffre précédent sera indexée chaque année à l'indice officiel suisse des prix à la consommation, sur la base de l'indice au 30 novembre précédent, la première fois le 1 er janvier 2012 sur la base de l'indice au 30 novembre précédent, à moins que les revenus du débirentier n'aient pas été indexés, à charge pour lui d'établir que tel n'aurait pas été le cas. VIII. dit que le demandeur doit verser à la défenderesse un montant de 2'080 fr. (deux mille huitante francs) à titre de dépens. Le jugement est confirmé pour le surplus. IV. Les frais de deuxième instance sont arrêtés à 800 fr. (huit cents francs) pour le recourant A.X.________ et à 300 fr. (trois cents francs) pour la recourante par voie de jonction B.X.________. V. La recourante par voie de jonction B.X.________ doit verser au recourant A.X.________ la somme de 1'000 fr. (mille francs) à titre de dépens de deuxième instance. VI. L'arrêt motivé est exécutoire. Le président :               La greffière : Du</w:t>
      </w:r>
    </w:p>
    <w:p>
      <w:r>
        <w:rPr>
          <w:b/>
        </w:rPr>
        <w:t>E. 12</w:t>
      </w:r>
    </w:p>
    <w:p>
      <w:r>
        <w:t>janvier 2011 Le dispositif de l'arrêt qui précède est communiqué par écrit aux intéressés. La greffière : Du L'arrêt qui précède, dont la rédaction a été approuvée à huis clos, est notifié en expédition complète, par l'envoi de photocopies, à : ‑ Me Raphaël Tatti (pour A.X.________), ‑ Me Jérôme Bénédict (pour B.X.________).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