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122 vom 5. Januar 2011</w:t>
      </w:r>
    </w:p>
    <w:p>
      <w:r>
        <w:t>VD Tribunal cantonal, 2011-01-05, FR</w:t>
      </w:r>
    </w:p>
    <w:p>
      <w:r>
        <w:rPr>
          <w:b/>
        </w:rPr>
        <w:t xml:space="preserve">Quelle: </w:t>
      </w:r>
      <w:r>
        <w:t>https://mcp.opencaselaw.ch/entscheid/vd_findinfo_HC___2011___122</w:t>
      </w:r>
    </w:p>
    <w:p>
      <w:r>
        <w:t>FR: VD_FINDINFO HC / 2011 / 122 du 5 janvier 2011</w:t>
      </w:r>
    </w:p>
    <w:p>
      <w:r>
        <w:t>IT: VD_FINDINFO HC / 2011 / 122 del 5 gennaio 2011</w:t>
      </w:r>
    </w:p>
    <w:p>
      <w:pPr>
        <w:pStyle w:val="Heading2"/>
      </w:pPr>
      <w:r>
        <w:t>Regeste</w:t>
      </w:r>
    </w:p>
    <w:p>
      <w:r>
        <w:t>OBLIGATION D'ENTRETIEN, PERSONNE DIVORCÉE, REVENU HYPOTHÉTIQUE | 285 CC</w:t>
      </w:r>
    </w:p>
    <w:p>
      <w:pPr>
        <w:pStyle w:val="Heading2"/>
      </w:pPr>
      <w:r>
        <w:t>Erwägungen</w:t>
      </w:r>
    </w:p>
    <w:p>
      <w:r>
        <w:rPr>
          <w:b/>
        </w:rPr>
        <w:t>E. 1</w:t>
      </w:r>
    </w:p>
    <w:p>
      <w:r>
        <w:t>Le Code de procédure civile du 19 décembre 2008 (ci-après: CPC; RS 272) est entré en vigueur le 1 er janvier 2011. Toutefois, le jugement attaqué a été communiqué aux parties avant cette date, de sorte que ce sont les règles du code de procédure civile vaudois du 14 décembre 1966 (ci-après: CPC-VD) qui s'appliquent (art. 405 al. 1 CPC). Les art. 444, 445 et 451 ch. 3 CPC-VD ouvrent la voie des recours en nullité et en réforme contre les jugements principaux rendus par un président de tribunal d'arrondissement. Interjeté en temps utile, le recours, qui tend uniquement à la réforme, est recevable.</w:t>
      </w:r>
    </w:p>
    <w:p>
      <w:r>
        <w:rPr>
          <w:b/>
        </w:rPr>
        <w:t>E. 2</w:t>
      </w:r>
    </w:p>
    <w:p>
      <w:r>
        <w:t>Saisie d'un recours en réforme contre un jugement principal rendu par un tribunal d'arrondissement,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auquel renvoie l'art. 374c CPC-VD, Leuenberger, Basler Kommentar, 3 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w:t>
      </w:r>
    </w:p>
    <w:p>
      <w:r>
        <w:rPr>
          <w:b/>
        </w:rPr>
        <w:t>E. 3</w:t>
      </w:r>
    </w:p>
    <w:p>
      <w:r>
        <w:t>Le recourant ne critique pas le principe d'une contribution d'entretien en faveur de ses enfants, mais il conteste qu'un revenu hypothétique de 3'720 fr. puisse être pris en compte pour calculer cette contribution. Il met en avant le fait qu'il a vainement cherché un emploi depuis plus d'une année, que son expérience de boucher remonte à plusieurs années et qu'elle s'est limitée à un travail dans l'abattoir où les places sont peu nombreuses.</w:t>
      </w:r>
    </w:p>
    <w:p>
      <w:r>
        <w:rPr>
          <w:b/>
        </w:rPr>
        <w:t>E. 3.1</w:t>
      </w:r>
    </w:p>
    <w:p>
      <w:r>
        <w:t>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 de l'enfant doivent être examinés en relation avec les trois autres éléments évoqué et la contribution d'entretien doit toujours être dans un rapport raisonnable avec le niveau de vie et la capacité contributive du débirentier (ATF 116 II 110 c. 3a, JT 1993 I 162; TF 5A_159/2009 du 16 octobre 2009 c. 4.1). La loi n'impose pas de méthode de calcul de la contribution d'entretien (ATF 128 III 411, c. 3.2.2), le montant de celle-ci étant laissé, pour une part importante, à l'appréciation du juge du fait (art. 4 CC; ATF 127 III 136 c. 3a).</w:t>
      </w:r>
    </w:p>
    <w:p>
      <w:r>
        <w:rPr>
          <w:b/>
        </w:rPr>
        <w:t>E. 3.2</w:t>
      </w:r>
    </w:p>
    <w:p>
      <w:r>
        <w:t>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35 % pour trois enfants et 40 % pour quatre enfants (TF 5A_178/2008 du 23 avril 2008 c. 3.3 et références; Bastons-Bulleti, L'entretien après divorce: méthodes de calcul, montant, durée et limites, in SJ 2007 II p. 107 s.; Revue Suisse de Jurisprudence [RSJ] 1984, pp. 392-393, note ad n° 4; Hegnauer/Meier, Droit suisse de la filiation, 4 ème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du 11 juillet 2005 n° 436). Il s'agit là en outre d'un taux approximatif qui doit être pondéré au vu des circonstances, la pension devant rester en rapport avec le niveau de vie et la capacité contributive du débiteur (ATF 116 II 110 c. 3a précité; TF 5A_178/2008 du 23 avril 2008 c. 3.3; TF 5A_84/2007 du 18 septembre 2007 c. 5.1) et selon l'équité (ATF 107 II 406 c. 2c; RSJ 1984, pp. 392-393, n° 4). En présence de capacités financières limitées, le minimum vital du débirentier au sens du droit des poursuites doit en principe être garanti (ATF 127 III 68, JT 2001 I 562 c. 2c). Lorsque plusieurs enfants ont droit à une contribution d'entretien, le principe de l'égalité de traitement doit être respecté (ATF 127 III 68 précité c. 2c; sur tous ces points: TF 5A_178/2008 précité c. 3.2).</w:t>
      </w:r>
    </w:p>
    <w:p>
      <w:r>
        <w:rPr>
          <w:b/>
        </w:rPr>
        <w:t>E. 3.3</w:t>
      </w:r>
    </w:p>
    <w:p>
      <w:r>
        <w:t>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 citées; CREC II du 5 mars 2010 n° 54).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5C_40/2003 précité c. 2.1.1).</w:t>
      </w:r>
    </w:p>
    <w:p>
      <w:r>
        <w:rPr>
          <w:b/>
        </w:rPr>
        <w:t>E. 4</w:t>
      </w:r>
    </w:p>
    <w:p>
      <w:r>
        <w:t>En l'occurrence, les premiers juges ont retenu que A.M.________ était âgé de 44 ans, qu'il était en bonne santé et qu'il a obtenu un CFC de boucher, métier qu'il a dit avoir exercé plusieurs années. Ils ont également relevé qu'au vu de son expérience professionnelle dans la restauration, on pouvait admettre que le recourant avait de bonnes qualifications pour trouver un travail, en tout cas dans le métier de la boucherie. Sur ce point, les premiers juges ont considéré que rien ne permettait de retenir les affirmations de A.M.________ lorsqu'il prétend que sa formation de boucher ne se serait limitée qu'au domaine de l'abattage, ce qui rendrait la recherche d'un emploi difficile (cf jgt., p. 45). A cet égard, il y a lieu de relever que le recourant n'a produit aucune pièce attestant des recherches d'emploi alléguées, ce dernier avouant d'ailleurs ne pas avoir pensé à s'inscrire dans une agence de travail temporaire, alors même qu'il ressort des pièces produites par l'intimée que les offres d'emploi pour les bouchers sont abondantes, y compris par le biais d'agences de travail temporaire. Partant, les premiers juges étaient fondés à conclure que A.M.________ ne cherche pas à sortir de sa dépendance financière à l'égard de l'aide sociale. C'est dès lors à juste titre que, sur la base de ces éléments, qui sont conformes au dossier, ils ont considéré que l'on pouvait raisonnablement exiger du recourant qu'il exerce une activité lucrative dans le domaine de la boucherie ou éventuellement dans celui de la restauration. Le revenu retenu de 3'720 fr. net correspond au salaire minimum selon le contrat collectif pour la boucherie-charcuterie suisse en l'état au 1 er janvier 2010, et il pourrait également être réalisé dans la restauration. Au surplus, les contributions mises à la charge du recourant sont inférieures à 25% du revenu exigible, généralement admis pour l'entretien de deux enfants. A.M.________ ne prétend d'ailleurs pas que ces pensions entameraient son minimum vital au regard de son revenu hypothétique. Partant, le recours est infondé sur ce point et doit être rejeté.</w:t>
      </w:r>
    </w:p>
    <w:p>
      <w:r>
        <w:rPr>
          <w:b/>
        </w:rPr>
        <w:t>E. 5</w:t>
      </w:r>
    </w:p>
    <w:p>
      <w:r>
        <w:t>Les conclusions relatives aux dépens n'ont été prises que dans la perspective où les moyens du recourant devaient être admis sur la question de la contribution d'entretien. Le recours étant rejeté quant à la modification de la contribution d'entretien, les dépens de première instance doivent être confirmés.</w:t>
      </w:r>
    </w:p>
    <w:p>
      <w:r>
        <w:rPr>
          <w:b/>
        </w:rPr>
        <w:t>E. 6</w:t>
      </w:r>
    </w:p>
    <w:p>
      <w:r>
        <w:t>En définitive, le recours doit être rejeté en application de l'art. 465 al. 1 CPC-VD, et le jugement confirmé. Les frais de deuxième instance du recourant sont arrêtés à 300 fr. (art. 233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du recourant A.M.________ sont arrêtés à 300 fr. (trois cents francs). IV. L'arrêt motivé est exécutoire. Le président :               La greffière : Du 5 janvier 2011 Le dispositif de l'arrêt qui précède est communiqué par écrit aux intéressés. La greffière : Du L'arrêt qui précède, dont la rédaction a été approuvée à huis clos, est notifié en expédition complète, par l'envoi de photocopies, à : ‑ Me Paul-Arthur Treyvaud (pour A.M.________), ‑ Me Yves Nicole (pour 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