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118 vom 12. Oktober 2010</w:t>
      </w:r>
    </w:p>
    <w:p>
      <w:r>
        <w:t>VD Tribunal cantonal, 2010-10-12, FR</w:t>
      </w:r>
    </w:p>
    <w:p>
      <w:r>
        <w:rPr>
          <w:b/>
        </w:rPr>
        <w:t xml:space="preserve">Quelle: </w:t>
      </w:r>
      <w:r>
        <w:t>https://mcp.opencaselaw.ch/entscheid/vd_findinfo_HC___2011___118</w:t>
      </w:r>
    </w:p>
    <w:p>
      <w:r>
        <w:t>FR: VD_FINDINFO HC / 2011 / 118 du 12 octobre 2010</w:t>
      </w:r>
    </w:p>
    <w:p>
      <w:r>
        <w:t>IT: VD_FINDINFO HC / 2011 / 118 del 12 ottobre 2010</w:t>
      </w:r>
    </w:p>
    <w:p>
      <w:pPr>
        <w:pStyle w:val="Heading2"/>
      </w:pPr>
      <w:r>
        <w:t>Regeste</w:t>
      </w:r>
    </w:p>
    <w:p>
      <w:r>
        <w:t>CONDITION DE RECEVABILITÉ, MOYEN DE DROIT, DROIT TRANSITOIRE, INTERDICTION DE L'ARBITRAIRE, APPRÉCIATION DES PREUVES, GARANTIE PROCÉDURALE DE LA CONSTITUTION FÉDÉRALE, CONSTATATION DES FAITS, SOCIÉTÉ SIMPLE, CONSTRUCTION DE LOGEMENTS | 4 al. 1 CPC, 4 CPC, 444 al. 1 CPC, 444 al. 2 CPC, 444 CPC, 451a al. 1 CPC, 451a CPC</w:t>
      </w:r>
    </w:p>
    <w:p>
      <w:pPr>
        <w:pStyle w:val="Heading2"/>
      </w:pPr>
      <w:r>
        <w:t>Erwägungen</w:t>
      </w:r>
    </w:p>
    <w:p>
      <w:r>
        <w:rPr>
          <w:b/>
        </w:rPr>
        <w:t>E. 1</w:t>
      </w:r>
    </w:p>
    <w:p>
      <w:r>
        <w:t>a) Selon l’art. 451a al. 1 CPC-VD (Code de procédure civile vaudois du 14 décembre 1966, RSV 270.11),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fédérale du 17 juin 2005 sur le Tribunal fédéral, RS 173.110). La recevabilité du recours cantonal en réforme doit dorénavant être examinée au regard de cette loi. Le recours en matière civile est ouvert contre les décisions finales (art. 90 LTF) rendues en matière civile (art. 72 al. 1 LTF) par une autorité cantonale de dernière instance (art. 75 al. 1 LTF) pour autant que la valeur litigieuse de 30'000 fr. soit atteinte (art. 74 al. 1 let. b LTF), respectivement la valeur litigieuse de 15'000 fr. en matière de droit du travail et de droit du bail à loyer (art. 74 al. 1 let. a LTF). Le recours en matière civile peut être interjeté pour violation du droit, tel qu’il est délimité par les art. 95 et 96 LTF, notamment pour violation du droit fédéral (art. 95 let. a LTF), y compris les droits constitutionnels. b) En l’espèce, les conclusions sont supérieures à 30'000 fr. et le jugement attaqué a été rendu dans une affaire civile régie par le droit fédéral, si bien que le recours en matière civile au Tribunal fédéral est ouvert sur le fond. Par conséquent, aucun recours en réforme cantonal n’est ouvert. c) En se référant à un article de Denis Tappy paru au JT 2010 III 11 (spéc. pp. 45 ss), les recourants signalent toutefois qu’ils ont pris par prudence une conclusion en réforme et développé des moyens de réforme touchant à l’application du droit fédéral, afin d’éviter tout problème de droit transitoire. Les considérations émises par Denis Tappy sont cependant sans portée dans la présente cause, dès lors que la Chambre des recours statue encore en 2010, soit avant l’entrée en vigueur du nouveau droit de procédure. Aucun recours en réforme cantonal n’est ainsi ouvert. Quoique la question ne se pose pas en l’espèce, on relèvera que, dans son article, Denis Tappy envisage le cas d’une saisine de la Chambre des recours en 2011 à l’égard d’un jugement de la Cour civile dont le dispositif a été communiqué en 2010. Il relève que les art. 100 al. 6 et 111 al. 3, 2 ème phrase, LTF seront abrogés dès 2011, que les art. 75 al. 2 et 111 al. 3. 1 ère phrase, LTF entreront alors pleinement en vigueur et que cela posera des questions de droit transitoire. Il est d’avis, en se fondant sur la ratio legis de l’art. 130 al. 2 LTF, que l’ancien système devrait perdurer dans cette hypothèse, les cantons n’ayant pas à adapter leur procédure civile avant l’entrée en vigueur du code de procédure civile suisse, mais réserve la jurisprudence du Tribunal fédéral à ce propos. L’approche de Denis Tappy doit être suivie. En effet, l’art. 405 al. 1 CPC (Code de procédure civile suisse du 19 décembre 2008, RS 272) prévoit que les recours sont régis par le droit en vigueur au moment de la communication de la décision aux parties. C’est donc uniquement pour les jugements communiqués dès 2011 que les nouvelles voies de recours s’appliqueront. En particulier, le nouvel appel fédéral (cf. art. 308 ss CPC) ne sera pas ouvert contre les jugements de la Cour civile rendus en 2010. Dès lors que, conformément à la ratio legis de l’art. 130 al. 2 LTF, les cantons n’ont pas eu à adapter leur procédure civile jusqu'à l'entrée en vigueur de la procédure civile unifiée, il serait incohérent de déduire de l’abrogation des art. 100 al. 6 et 111 al. 3, 2 ème phrase, LTF qu’à l’égard des jugements rendus par la Cour civile en 2010, qui ne sont pas susceptibles d’un appel fédéral comme indiqué ci-dessus, un recours en réforme cantonal doit être ouvert dès 2011, alors qu’une telle voie de droit a toujours été exclue par la procédure vaudoise. d) Il s’ensuit que la conclusion en réforme prise par les recourants est irrecevable. Sont également irrecevables, faute pour le recours en réforme cantonal d’être ouvert, les griefs portant sur l’application du droit matériel fédéral.</w:t>
      </w:r>
    </w:p>
    <w:p>
      <w:r>
        <w:rPr>
          <w:b/>
        </w:rPr>
        <w:t>E. 2</w:t>
      </w:r>
    </w:p>
    <w:p>
      <w:r>
        <w:t>En revanche, l'art. 444 al. 1 CPC-VD ouvre la voie du recours en nullité devant le Tribunal cantonal contre tout jugement principal d'une autorité judiciaire quelconque en particulier pour violation des règles essentielles de la procédure. A teneur de l'art. 444 al. 2 CPC-VD,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(cf. art. 43 de l'ancienne loi fédérale d'organisation judiciaire), il pouvait l'être dans le recours en nullité cantonal (JT 2001 III 128). La LTF a remplacé le recours en réforme par le recours en matière civile ; dans le cadre de ce nouveau recours, le grief de la violation de l'interdiction constitutionnelle de l'arbitraire est recevable (cf. art. 95 LTF ; ATF 134 III 379 c. 1.2). L'art. 444 al. 2 CPC-VD n'a toutefois pas été adapté à la modification des voies de recours fédérales ;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4A_251/2009 du 29 juin 2009 c. 1.2 et l’arrêt cité). La Chambre des recours n’entre en matière que sur les moyens de nullité dûment invoqués (Poudret/Haldy/Tappy, Procédure civile vaudoise, 3 ème éd., Lausanne 2002, n. 2 ad art. 465 CPC-VD).</w:t>
      </w:r>
    </w:p>
    <w:p>
      <w:r>
        <w:rPr>
          <w:b/>
        </w:rPr>
        <w:t>E. 3</w:t>
      </w:r>
    </w:p>
    <w:p>
      <w:r>
        <w:t>Invoquant une violation de l’art. 4 CPC-VD, les recourants soutiennent que l’existence d’une société simple n’a jamais été alléguée et que la Cour civile ne pouvait pas se fonder sur l’allégué selon lequel eux-mêmes et le couple H.________ avaient « imaginé de s’associer pour réaliser la construction de deux villas contiguës en propriété par étage » (cf. jugement p. 44) pour conclure à l’existence d’une telle société. Les recourants se plaignent aussi à cet égard d’une appréciation arbitraire des preuves. a) L’art.</w:t>
      </w:r>
    </w:p>
    <w:p>
      <w:r>
        <w:rPr>
          <w:b/>
        </w:rPr>
        <w:t>E. 4</w:t>
      </w:r>
    </w:p>
    <w:p>
      <w:r>
        <w:t>Au vu de ce qui précède, le recours doit être rejeté dans la mesure où il est recevable, en application de l’art. 465 al. 1 CPC-VD, et le jugement attaqué maintenu. Les frais de deuxième instance des recourants, solidairement entre eux, sont arrêtés à 5'952 fr. (cf. art. 232 TFJC [tarif du 4 décembre 1984 des frais judiciaires en matière civile, RSV 270.11.5]). Par ces motifs, la Chambre des recours du Tribunal cantonal, statuant à huis clos, en application de l'art. 465 al. 1 CPC-VD, prononce : I. Le recours est rejeté dans la mesure où il est recevable. II. Le jugement est maintenu. III. Les frais de deuxième instance des recourants A.F.________ et B.F.________, solidairement entre eux, sont arrêtés à 5'952 fr. (cinq mille neuf cent cinquante-deux francs). IV. L'arrêt motivé est exécutoire. Le président :               La greffière : Du 12 octobre 2010 Le dispositif de l'arrêt qui précède est communiqué par écrit aux intéressés. La greffière : Du L'arrêt qui précède, dont la rédaction a été approuvée à huis clos, est notifié en expédition complète, par l'envoi de photocopies, à : ‑ Me Luc Pittet (pour A.F.________ et B.F.________), ‑ Me Marc-Olivier Buffat (pour G.________ et G.________ SA). La Chambre des recours considère que la valeur litigieuse est de 565’297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 ‑ à la Cour civile, - au Tribunal fédéral.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