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100 vom 20. Dezember 2010</w:t>
      </w:r>
    </w:p>
    <w:p>
      <w:r>
        <w:t>VD Tribunal cantonal, 2010-12-20, FR</w:t>
      </w:r>
    </w:p>
    <w:p>
      <w:r>
        <w:rPr>
          <w:b/>
        </w:rPr>
        <w:t xml:space="preserve">Quelle: </w:t>
      </w:r>
      <w:r>
        <w:t>https://mcp.opencaselaw.ch/entscheid/vd_findinfo_HC___2011___100</w:t>
      </w:r>
    </w:p>
    <w:p>
      <w:r>
        <w:t>FR: VD_FINDINFO HC / 2011 / 100 du 20 décembre 2010</w:t>
      </w:r>
    </w:p>
    <w:p>
      <w:r>
        <w:t>IT: VD_FINDINFO HC / 2011 / 100 del 20 dicembre 2010</w:t>
      </w:r>
    </w:p>
    <w:p>
      <w:pPr>
        <w:pStyle w:val="Heading2"/>
      </w:pPr>
      <w:r>
        <w:t>Regeste</w:t>
      </w:r>
    </w:p>
    <w:p>
      <w:r>
        <w:t>VICE DU CONSENTEMENT, RETRAIT{VOIE DE DROIT} | 273 al. 1 CPP</w:t>
      </w:r>
    </w:p>
    <w:p>
      <w:pPr>
        <w:pStyle w:val="Heading2"/>
      </w:pPr>
      <w:r>
        <w:t>Erwägungen</w:t>
      </w:r>
    </w:p>
    <w:p>
      <w:r>
        <w:rPr>
          <w:b/>
        </w:rPr>
        <w:t>E. 1</w:t>
      </w:r>
    </w:p>
    <w:p>
      <w:r>
        <w:t>Conformément à l'art. 453 al. 1 du Code de procédure pénale suisse du 5 octobre 2007, entré en vigueur le 1 er janvier 2011, les recours formés contre les décisions rendues avant l’entrée en vigueur de la novelle sont traités selon l’ancien droit par les autorités compétentes sous l’empire de ce droit, soit du Code de procédure pénale cantonal du 12 septembre 1967 (CPP VD, ci-après : CPP), abrogé au 31 décembre 2010 par l'entrée en vigueur de la loi fédérale (art. 34 de la loi cantonale du 19 mai 2009 d'introduction du Code de procédure pénale suisse, RSV 312.01).</w:t>
      </w:r>
    </w:p>
    <w:p>
      <w:r>
        <w:rPr>
          <w:b/>
        </w:rPr>
        <w:t>E. 2</w:t>
      </w:r>
    </w:p>
    <w:p>
      <w:r>
        <w:t>Selon une jurisprudence constante, la Cour de cassation détermine la nature du recours d'après la question soulevée et les moyens invoqués, et non pas selon les termes inadéquats que le recourant a pu utiliser dans son acte de recours (Bovay/Dupuis/Monnier/Moreillon/Piguet, Procédure pénale vaudoise, Code annoté, 3 e éd., 2008, n. 3 ad art. 410 CPP; JT 1982 III 62). En l'espèce, il ressort des moyens invoqués que le recourant, agissant sous sa propre plume, conteste la validité du retrait d'opposition entériné par la décision entreprise. Il se prévaut implicitement d'un vice du consentement.</w:t>
      </w:r>
    </w:p>
    <w:p>
      <w:r>
        <w:rPr>
          <w:b/>
        </w:rPr>
        <w:t>E. 3</w:t>
      </w:r>
    </w:p>
    <w:p>
      <w:r>
        <w:t>Aux termes de l'art. 410 CPP, un recours en nullité ou en réforme est ouvert à la Cour de cassation contre les jugements principaux rendus en contradictoire, ainsi que dans les autres cas prévus par la loi (al. 1). Constitue un jugement principal toute décision par laquelle une autorité judiciaire de première instance, saisie d'une action pénale, statue définitivement en ce qui la concerne sur le sort de cette action (al. 2).</w:t>
      </w:r>
    </w:p>
    <w:p>
      <w:r>
        <w:rPr>
          <w:b/>
        </w:rPr>
        <w:t>E. 4</w:t>
      </w:r>
    </w:p>
    <w:p>
      <w:r>
        <w:t>Seul est litigieux en l'espèce le retrait de l'opposition entériné par le tribunal – soit l'unique objet du jugement entrepris -, à l'exclusion du sort de l'action pénale. Les motifs déduits par le recourant de la stratégie de son défenseur d'office et de prétendues lacunes de l'ordonnance de condamnation sont ainsi irrecevables. Conformément à l'art. 273 al. 1 CPP, l'opposition peut être retirée jusqu'à la clôture des débats devant le tribunal de police; l'ordonnance de condamnation devient alors définitive et exécutoire. Il est constant que le recourant a retiré son opposition à l'audience, comme l'indique le procès-verbal. Cela étant, il conteste la validité de ce retrait en alléguant avoir paniqué et avoir agi sous l'empire de pressions, notamment lorsque le président l'a avisé de ce qu'il pourrait demander une expertise psychiatrique (cf. notamment mémoire, pp. 5 et 11).</w:t>
      </w:r>
    </w:p>
    <w:p>
      <w:r>
        <w:rPr>
          <w:b/>
        </w:rPr>
        <w:t>E. 5</w:t>
      </w:r>
    </w:p>
    <w:p>
      <w:r>
        <w:t>La question est dès lors de savoir si ledit retrait est entaché d'un vice du consentement. Le vice du consentement peut avoir pour origine l'erreur essentielle, le dol ou la crainte fondée. La théorie générale des vices du consentement au sens des art. 23 et suivants du Code des obligations n'est pas applicable aux procédés relevant du droit pénal (cf., s'agissant d'un retrait de plainte, CCASS, 4 novembre 2009, n° 474; Favre/Pellet/Stoudmann, Code pénal annoté, Lausanne 2007, n. 2.1 ad art. 33 al. 2 CP, p. 134). A supposer que ces principes généraux doivent être appliqués par analogie également au retrait d'une opposition en droit de procédure cantonal, le résultat serait identique.</w:t>
      </w:r>
    </w:p>
    <w:p>
      <w:r>
        <w:rPr>
          <w:b/>
        </w:rPr>
        <w:t>E. 6</w:t>
      </w:r>
    </w:p>
    <w:p>
      <w:r>
        <w:t>Au préalable, il doit être déterminé si le moyen déduit du vice du consentement peut être soulevé lorsque la partie est assistée, comme l'était le recourant lors de l'audience du 20 décembre 2010. Le principe de l'égalité des armes requiert que chaque partie se voie offrir une possibilité raisonnable de présenter sa cause dans des conditions qui ne la placent pas dans une situation de net désavantage par rapport à sa partie adverse (CEDH, arrêt Yvon c. France, du 24 avril 2003, par. 31). Au pénal, l'égalité des armes suppose un équilibre non seulement entre l'accusé et le Ministère public soutenant l'accusation, mais entre l'accusé et la partie civile (Piquerez, Procédure pénale suisse, Traité théorique et pratique, Zurich 2000, n. 834, p. 191; cf. aussi Schmid, Strafprozessrecht, Zurich 2004, n. 236, p. 79). Ce principe a été respecté en l'espèce, dès lors que L.________ a été pourvu d'un conseil d'office le 25 novembre 2009 et que la plaignante n'a été assistée d'un avocat, certes de choix, que dès le 14 juin 2010. On ne voit ainsi guère comment le retrait de l'opposition aurait pu être entaché d'un vice du consentement.</w:t>
      </w:r>
    </w:p>
    <w:p>
      <w:r>
        <w:rPr>
          <w:b/>
        </w:rPr>
        <w:t>E. 7</w:t>
      </w:r>
    </w:p>
    <w:p>
      <w:r>
        <w:t>En outre, la mention, par le premier juge, de la mise en œuvre éventuelle d'une expertise psychiatrique sur la personne du recourant n'est pas en soi un moyen de contrainte susceptible de causer en particulier une crainte fondée. Elle découle en effet des dispositions légales applicables. De plus, le recourant, alors qu'il était assisté d'un conseil, avait lui-même évoqué une telle expertise le 11 août 2009 et en faisant valoir que sa responsabilité pourrait être restreinte au sens de l'art. 19 CP. Au vu du principe de la bonne foi, il ne saurait donc plaider la thèse opposée en procédure de recours.</w:t>
      </w:r>
    </w:p>
    <w:p>
      <w:r>
        <w:rPr>
          <w:b/>
        </w:rPr>
        <w:t>E. 8</w:t>
      </w:r>
    </w:p>
    <w:p>
      <w:r>
        <w:t>A ceci s'ajoute que la brièveté même de l'audience exclut toute pression à l'égard du recourant. En effet, selon le procès-verbal, l'audience a débuté à 9 h 10, puis a été suspendue durant cinq minutes à</w:t>
      </w:r>
    </w:p>
    <w:p>
      <w:r>
        <w:rPr>
          <w:b/>
        </w:rPr>
        <w:t>E. 9</w:t>
      </w:r>
    </w:p>
    <w:p>
      <w:r>
        <w:t>Quant au moyen tiré du report de l'audition de deux témoins, il suffit de rappeler que leur assignation a été requise par les deux parties. Les deux témoins ont produit copies de leurs billets d'avion attestant de leur présence à l'étranger en juillet 2010. Le recourant, par son conseil, a alors même demandé leur audition anticipée ou, à défaut, le renvoi de l'audience. Il ne saurait en conséquence tirer argument du report d'une audience qu'il a lui-même demandé. Ainsi, le retrait de l'opposition à l'audience du 20 décembre 2010 n'est entaché d'aucun vice du consentement.</w:t>
      </w:r>
    </w:p>
    <w:p>
      <w:r>
        <w:rPr>
          <w:b/>
        </w:rPr>
        <w:t>E. 10</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