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10 vom 11. November 2010</w:t>
      </w:r>
    </w:p>
    <w:p>
      <w:r>
        <w:t>VD Tribunal cantonal, 2010-11-11, FR</w:t>
      </w:r>
    </w:p>
    <w:p>
      <w:r>
        <w:rPr>
          <w:b/>
        </w:rPr>
        <w:t xml:space="preserve">Quelle: </w:t>
      </w:r>
      <w:r>
        <w:t>https://mcp.opencaselaw.ch/entscheid/vd_findinfo_HC___2011___10</w:t>
      </w:r>
    </w:p>
    <w:p>
      <w:r>
        <w:t>FR: VD_FINDINFO HC / 2011 / 10 du 11 novembre 2010</w:t>
      </w:r>
    </w:p>
    <w:p>
      <w:r>
        <w:t>IT: VD_FINDINFO HC / 2011 / 10 del 11 novembre 2010</w:t>
      </w:r>
    </w:p>
    <w:p>
      <w:pPr>
        <w:pStyle w:val="Heading2"/>
      </w:pPr>
      <w:r>
        <w:t>Regeste</w:t>
      </w:r>
    </w:p>
    <w:p>
      <w:r>
        <w:t>JUGEMENT PAR DÉFAUT, CESSION DE CRÉANCE{CO} | 164 CO, 306 al. 2 CPC</w:t>
      </w:r>
    </w:p>
    <w:p>
      <w:pPr>
        <w:pStyle w:val="Heading2"/>
      </w:pPr>
      <w:r>
        <w:t>Erwägungen</w:t>
      </w:r>
    </w:p>
    <w:p>
      <w:r>
        <w:rPr>
          <w:b/>
        </w:rPr>
        <w:t>E. 1</w:t>
      </w:r>
    </w:p>
    <w:p>
      <w:r>
        <w:t>Les art. 444, 447 et 451 ch. 4 CPC ouvrent la voie des recours en nullité et en réforme - dans la mesure pour ce dernier où la valeur litigieuse dépasse 1'000 fr.  - contre les jugements principaux rendus par un juge de paix. Interjeté en temps utile, le recours tend en l'espèce à la réforme du jugement uniquement.</w:t>
      </w:r>
    </w:p>
    <w:p>
      <w:r>
        <w:rPr>
          <w:b/>
        </w:rPr>
        <w:t>E. 2</w:t>
      </w:r>
    </w:p>
    <w:p>
      <w:r>
        <w:t>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 de paix, en particulier pour faire valoir une appréciation arbitraire des preuves. En l'espèce, l'état de fait du jugement est conforme aux pièces du dossier. Il convient toutefois de le compléter comme suit : - Selon l'extrait du registre du commerce au dossier, l'intimée est également active dans les conseils comptables, fiduciaires et fiscaux ainsi que dans le domaine de l'immobilier.</w:t>
      </w:r>
    </w:p>
    <w:p>
      <w:r>
        <w:rPr>
          <w:b/>
        </w:rPr>
        <w:t>E. 3</w:t>
      </w:r>
    </w:p>
    <w:p>
      <w:r>
        <w:t>La créance invoquée en procédure a été cédée à l'intimée par le Dr T.________. Selon le registre du commerce, le but social de l'intimée tend notamment au recouvrement de créances. Or, une cession qui vise à contourner les règles restreignant la représentation des parties en justice est susceptible d'être entachée de nullité (CREC I 10 novembre 2010/590). En l'espèce cependant, l'extrait du registre du commerce au dossier mentionne aussi que l'intimée est active dans d'autres domaines. On ne peut donc pas nécessairement déduire des éléments au dossier que la cession de créance visait uniquement à éluder les règles cantonales sur la représentation habituelle des parties, en particulier l'art. 3 LReP. Il n'apparaît pas non plus que l'intimée procéderait régulièrement dans le canton sur la base de cessions de créances. On ne saurait donc retenir en deuxième instance un cas de nullité.</w:t>
      </w:r>
    </w:p>
    <w:p>
      <w:r>
        <w:rPr>
          <w:b/>
        </w:rPr>
        <w:t>E. 4</w:t>
      </w:r>
    </w:p>
    <w:p>
      <w:r>
        <w:t>En conclusion, le recours doit être rejeté en application de l'art. 465 al. 1 CPC et le jugement confirmé. Les frais de deuxième instance du recourant sont arrêtés à 250 fr. (art. 230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C.________ sont arrêtés à 250 fr. (deux cent cinquante francs). IV. L'arrêt motivé est exécutoire. Le président :               Le greffier : Du 11 novembre 2010 Le dispositif de l'arrêt qui précède est communiqué par écrit aux intéressés. Le greffier : Du L'arrêt qui précède, dont la rédaction a été approuvée à huis clos, est notifié en expédition complète, par l'envoi de photocopies, à : - M. C.________, - E.________ SA. La Chambre des recours considère que la valeur litigieuse est de 2'848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