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98 vom 4. November 2009</w:t>
      </w:r>
    </w:p>
    <w:p>
      <w:r>
        <w:t>VD Tribunal cantonal, 2009-11-04, FR</w:t>
      </w:r>
    </w:p>
    <w:p>
      <w:r>
        <w:rPr>
          <w:b/>
        </w:rPr>
        <w:t xml:space="preserve">Quelle: </w:t>
      </w:r>
      <w:r>
        <w:t>https://mcp.opencaselaw.ch/entscheid/vd_findinfo_HC___2010___98</w:t>
      </w:r>
    </w:p>
    <w:p>
      <w:r>
        <w:t>FR: VD_FINDINFO HC / 2010 / 98 du 4 novembre 2009</w:t>
      </w:r>
    </w:p>
    <w:p>
      <w:r>
        <w:t>IT: VD_FINDINFO HC / 2010 / 98 del 4 novembre 2009</w:t>
      </w:r>
    </w:p>
    <w:p>
      <w:pPr>
        <w:pStyle w:val="Heading2"/>
      </w:pPr>
      <w:r>
        <w:t>Regeste</w:t>
      </w:r>
    </w:p>
    <w:p>
      <w:r>
        <w:t>ORDONNANCE DE CONDAMNATION, OPPOSITION{PROCÉDURE}, RETRAIT{VOIE DE DROIT}, DÉCISION D'IRRECEVABILITÉ, VICE DE FORME | 267 CPP, 273 CPP, 312 CPP, 425 CPP</w:t>
      </w:r>
    </w:p>
    <w:p>
      <w:pPr>
        <w:pStyle w:val="Heading2"/>
      </w:pPr>
      <w:r>
        <w:t>Erwägungen</w:t>
      </w:r>
    </w:p>
    <w:p>
      <w:r>
        <w:rPr>
          <w:b/>
        </w:rPr>
        <w:t>E. 1</w:t>
      </w:r>
    </w:p>
    <w:p>
      <w:r>
        <w:t>a) Le président du tribunal d'arrondissement est compétent pour statuer sur la recevabilité d'une opposition à une ordonnance de condamnation simple. Il statue alors dans les formes prévues à l'art. 312 CPP (Code de procédure pénale du 12 septembre 1967; RSV 312.01), applicable par analogie, et son jugement est assimilé, pour le recours, à un jugement principal rendu en contradictoire (art. 410 al. 3 CPP; JT 1996 III 169; Bovay/Dupuis/Monnier/Moreillon/Piguet, Procédure pénale vaudoise, Code annoté, 3 ème éd., 2008, nn. 2 et 5 ad art. 312 CPP, p. 337 et 7 ad art. 410 CPP, p. 455). Le présent recours, dirigé contre un prononcé présidentiel prenant acte du retrait de l'opposition formée à une ordonnance de condamnation est donc recevable. b) Sur le plan formel, le mémoire de recours doit contenir des conclusions et les motifs à l'appui des conclusions (art. 425 al. 2 let. b et c CPP). Le recourant doit donc indiquer succinctement quelles sont les irrégularités de procédure invoquées et en quoi elles consistent (art. 425 al. 2 let. c CPP). En l'espèce, le recourant ne conteste pas le prononcé attaqué, qui prend acte de son retrait d'opposition, mais cherche par son recours à ce qu'il soit sursis à l'ordonnance de condamnation jusqu'à ce que sa situation soit examinée sous l'angle de la police des étrangers par l'autorité compétente. Compte tenu de la nature de la décision attaquée, les conclusions du recours n'ont pas d'objet. Le recourant ne fait d'ailleurs formellement valoir aucun moyen de nullité ou de réforme à l'appui de son recours, de sorte qu'il doit être déclaré irrecevable.</w:t>
      </w:r>
    </w:p>
    <w:p>
      <w:r>
        <w:rPr>
          <w:b/>
        </w:rPr>
        <w:t>E. 2</w:t>
      </w:r>
    </w:p>
    <w:p>
      <w:r>
        <w:t>En conclusion, le recours est écarté et le prononcé attaqué confirmé. Le recourant, qui succombe, supportera les frais de deuxième instance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