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96 vom 20. Oktober 2009</w:t>
      </w:r>
    </w:p>
    <w:p>
      <w:r>
        <w:t>VD Tribunal cantonal, 2009-10-20, FR</w:t>
      </w:r>
    </w:p>
    <w:p>
      <w:r>
        <w:rPr>
          <w:b/>
        </w:rPr>
        <w:t xml:space="preserve">Quelle: </w:t>
      </w:r>
      <w:r>
        <w:t>https://mcp.opencaselaw.ch/entscheid/vd_findinfo_HC___2010___96</w:t>
      </w:r>
    </w:p>
    <w:p>
      <w:r>
        <w:t>FR: VD_FINDINFO HC / 2010 / 96 du 20 octobre 2009</w:t>
      </w:r>
    </w:p>
    <w:p>
      <w:r>
        <w:t>IT: VD_FINDINFO HC / 2010 / 96 del 20 ottobre 2009</w:t>
      </w:r>
    </w:p>
    <w:p>
      <w:pPr>
        <w:pStyle w:val="Heading2"/>
      </w:pPr>
      <w:r>
        <w:t>Regeste</w:t>
      </w:r>
    </w:p>
    <w:p>
      <w:r>
        <w:t>FAUTE, SURSIS PARTIEL À L'EXÉCUTION DE LA PEINE | 43 ch. 1 CP, 47 CP, 411 let. h CPP, 411 let. i CPP, 411 let. j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h, i et j CPP. 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De surcroît, l 'arbitraire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d) Pour sa part, 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e)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w:t>
      </w:r>
    </w:p>
    <w:p>
      <w:r>
        <w:rPr>
          <w:b/>
        </w:rPr>
        <w:t>E. 3</w:t>
      </w:r>
    </w:p>
    <w:p>
      <w:r>
        <w:t>a) L e recourant soutient d'abord que les premiers juges ont violé la présomption d'innocence en retenant à sa charge des lésions symétriques du palais mou de l'enfant. Cette constatation correspond au diagnostic médical. Au surplus, l'accusé a admis avoir introduit sa main dans la bouche de l'enfant. Il n'y avait dès lors aucun arbitraire ni, partant, violation du principe in dubio pro reo à retenir que le recourant était l'auteur des lésions constatées. Au demeurant, même s'il devait être admis qu'il n'avait causé qu'une blessure sous la langue, il n'en faudrait pas mois retenir les lésions corporelles. Il est donc douteux que la prétendue violation ait pu influer sur l'issue de la cause. Elle ne porte donc pas sur des faits importants pour le jugement de la cause au sens de l'art. 411 let. i CPP. b) Excipant de l'art. 411 let. h CPP, le recourant tente ensuite de tirer argument des éléments du dossier en sa faveur. Son argumentation n'établit toutefois aucune lacune au sens de la disposition dont il se prévaut. De même, sous l'angle de l'art. 411 let. j CPP, le recourant n'étaye aucune insuffisance dans la motivation du jugement. Le recourant soutient que le jugement aurait dû reprendre des passages supplémentaires de l'expertise psychiatrique, ainsi que la teneur d'un rapport du SPJ du 11 juillet 2008. Toutefois, le tribunal correctionnel a retenu, à décharge, la légère altération de la responsabilité pénale, les mauvais traitements subis durant l'enfance, le sentiment de culpabilité adéquat par rapport à la maltraitance, le fait que l'intéresse se soumette à une thérapie, sa compliance à ce traitement, le faible risque de récidive et la reconnaissance de dette signée en faveur de la victime. Or, ce sont précisément ces éléments, déjà retenus en sa faveur, que le recourant voudrait voir pris en compte par référence à l'expertise et au rapport du SPJ. On ne saurait dès lors considérer que le jugement est lacunaire quant à ces questions. c) Sans se prévaloir d'une norme légale spécifique, le recourant, fait enfin grief au tribunal correctionnel de ne pas avoir pris en compte les dépositions de six témoins, entendus à décharge. S'il entendait se prévaloir de ces témoignages, il aurait toutefois appartenu à l'accusé d'en demander la verbalisation conformément à la jurisprudence résumée au considérant 2.e ci-dessus, ce qu'il n'a pas fait. Ce moyen s'avérant également infondé, le recours en nullité doit être rejeté.</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4.1</w:t>
      </w:r>
    </w:p>
    <w:p>
      <w:r>
        <w:t>Le recourant conteste d'abord s'être rendu coupable de lésions corporelles graves. Néanmoins, le recours ne comporte aucune conclusion tendant à ce que l'accusé soit libéré de ce chef d'accusation. Au surplus, les faits invoqués à l'appui de ce moyen ne figurent pas dans le jugement. Or, sous l'angle de la réforme, la cour de céans est en principe liée par les faits constatés dans le jugement attaqué (cf. ci-dessus). On ne saurait dès lors entrer en matière sur ce moyen de réforme. Par surabondance, au vu des faits constatés par le jugement, les lésions corporelles infligées à la victime ne peuvent qu'être considérées comme grave au sens de l'art. 122 CP, attendu en particulier qu'elles ont mis la vie de l'enfant en danger, qu'elles ont justifié des soins prolongés et qu'elles sont susceptibles d'avoir des effets durables pendant la croissance de la victime.</w:t>
      </w:r>
    </w:p>
    <w:p>
      <w:r>
        <w:rPr>
          <w:b/>
        </w:rPr>
        <w:t>E. 4.2</w:t>
      </w:r>
    </w:p>
    <w:p>
      <w:r>
        <w:t>Le recourant fait ensuite grief aux premiers juges d'arbitraire dans la fixation de la quotité de la peine.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TF 6B_207/2007 du</w:t>
      </w:r>
    </w:p>
    <w:p>
      <w:r>
        <w:rPr>
          <w:b/>
        </w:rPr>
        <w:t>E. 4.3</w:t>
      </w:r>
    </w:p>
    <w:p>
      <w:r>
        <w:t>a) En l'espèce, le recourant a été condamné essentiellement pour lésions corporelles simples qualifiées intentionnelles, de lésions corporelles graves intentionnelles, ces infractions étant en concours. Il est donc passible d'une peine maximum de 15 ans de privation de liberté. Pour déterminer la quotité de la peine, les premiers juges ont tenu compte, tant à charge qu'à décharge, de divers facteurs, déjà mentionnés (cf. supra, c. 3c et 4). Il s'agit d'éléments énoncés par l'art. 47 CP. Ils sont complets et pertinents. La peine prononcée se situe dans le cadre légal. Compte tenu en particulier des dénégations partielles de l'intéressé, la peine ne paraît pas arbitrairement sévère. Elle semble même relativement clémente. b) Cela étant, le recourant soutient en particulier que les premiers juges auraient dû tenir compte de l'effet de la peine sur son avenir, en ce sens qu'il risque de perdre son emploi à défaut d'être mis au bénéfice d'un sursis ordinaire, soit complet.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Aux termes de l'art. 43 al. 1 CP, le juge peut suspendre partiellement l'exécution d'une peine pécuniaire, d'un travail d'intérêt général ou d'une peine privative de liberté d'un an au moins et de trois ans au plus afin de tenir compte de façon appropriée de la faute. Le Tribunal fédéral (TF 6B_819/2007 du 9 avril 2008 ) a considéré qu'il n'est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(arrêt précité, c. 3.5, p. 24). Dans le cas particulier, aucun motif ne commande de ramener la quotité de la peine privative de liberté à la limite supérieure compatible avec le suris ordinaire, soit 24 mois. En effet, comme il en a été statué au considérant ci-dessus, la sanction est adéquate dans sa quotité et même relativement clémente. Une peine de 24 mois de privation de liberté au plus aurait donc été arbitrairement clémente dans sa quotité. Ce moyen doit donc aussi être rejeté. Il s'ensuit que le recours en réforme doit être rejeté dans son intégralité.</w:t>
      </w:r>
    </w:p>
    <w:p>
      <w:r>
        <w:rPr>
          <w:b/>
        </w:rPr>
        <w:t>E. 4.4</w:t>
      </w:r>
    </w:p>
    <w:p>
      <w:r>
        <w:t>Le recourant demande enfin que la peine privative de liberté soit assortie d'un sursis complet, la durée du délai d'épreuve demeurant inchangée. Comme déjà relevé, la quotité de la peine n'est compatible qu'avec le sursis partiel. Cela étant, il peut être statué sur la part de la peine à exécuter. a)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(SJ 2008 I précité, p. 281; ATF 134 IV 1 précité, c. 5.5.1, p. 14). Malgré l'absence de renvoi explicite de l'art. 43 CP, les conditions subjectives permettant l'octroi du sursis (art. 42 CP), à savoir les perspectives d'amendement, sont également valables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En revanche, un pronostic défavorable exclut également le sursis partiel. En effet, en l'absence d'espoir d'influencer l'auteur de quelque manière par un sursis complet ou partiel, la peine doit être entièrement exécutée (ATF 134 IV 1 précité, c. 5.3.1, p. 10; TF 6B_713/2007, SJ 2008 I, p. 277, spéc. p. 280). L'octroi ou le refus du sursis est une question qui relève de l'appréciation du juge de première instance, la Cour de cassation n'intervenant en cette matière que si le premier juge n'a pas motivé sa décision, l'a fondée sur des arguments juridiques critiquables ou sur un raisonnement manifestement insoutenable ou encore s'il a outrepassé son pouvoir d'appréciation (cf. notamment ATF 119 IV 195, c. 3b et les arrêts cités; CCASS,</w:t>
      </w:r>
    </w:p>
    <w:p>
      <w:r>
        <w:rPr>
          <w:b/>
        </w:rPr>
        <w:t>E. 6</w:t>
      </w:r>
    </w:p>
    <w:p>
      <w:r>
        <w:t>septembre 2007) .</w:t>
      </w:r>
    </w:p>
    <w:p>
      <w:r>
        <w:rPr>
          <w:b/>
        </w:rPr>
        <w:t>E. 10</w:t>
      </w:r>
    </w:p>
    <w:p>
      <w:r>
        <w:t>février 2009, n° 50) . b) Dans le cas présent, la partie de la peine privative de liberté à exécuter, arrêtée à douze mois, tient adéquatement compte de la gravité des actes et de la culpabilité de l'accusé. En outre, le tribunal correctionnel a, également à bon droit, pris en compte l'effet de la peine sur le condamné et l'impératif de protection de la victime. Les modalités du sursis ne sauraient dès lors être remises en cause. Au surplus, le recourant renonce expressément à contester le sursis de cinq ans assortissant le solde de la peine. Il ne saurait donc être statué à cet égard. Il en va de même de l'exigence imposée à l'accusé de se soumettre à une thérapie. Le recours en réforme doit ainsi être rejeté à l'instar du recours en nullité. 5. En conclusion, le recours doit être rejeté en application de l'art. 431 al. 2 CPP et le jugement confirmé. Vu l'issue du recours, les frais de deuxième instance, y compris l'indemnité allouée à son défenseur d'office, par 1'162 fr. 10, TVA comprise,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