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95 vom 21. August 2009</w:t>
      </w:r>
    </w:p>
    <w:p>
      <w:r>
        <w:t>VD Tribunal cantonal, 2009-08-21, FR</w:t>
      </w:r>
    </w:p>
    <w:p>
      <w:r>
        <w:rPr>
          <w:b/>
        </w:rPr>
        <w:t xml:space="preserve">Quelle: </w:t>
      </w:r>
      <w:r>
        <w:t>https://mcp.opencaselaw.ch/entscheid/vd_findinfo_HC___2010___95</w:t>
      </w:r>
    </w:p>
    <w:p>
      <w:r>
        <w:t>FR: VD_FINDINFO HC / 2010 / 95 du 21 août 2009</w:t>
      </w:r>
    </w:p>
    <w:p>
      <w:r>
        <w:t>IT: VD_FINDINFO HC / 2010 / 95 del 21 agosto 2009</w:t>
      </w:r>
    </w:p>
    <w:p>
      <w:pPr>
        <w:pStyle w:val="Heading2"/>
      </w:pPr>
      <w:r>
        <w:t>Regeste</w:t>
      </w:r>
    </w:p>
    <w:p>
      <w:r>
        <w:t>ORDONNANCE DE CONDAMNATION, DÉCISION D'IRRECEVABILITÉ, VICE DE FORME, OPPOSITION{PROCÉDURE} | 267 CPC, 312 CPC, 425 CPC</w:t>
      </w:r>
    </w:p>
    <w:p>
      <w:pPr>
        <w:pStyle w:val="Heading2"/>
      </w:pPr>
      <w:r>
        <w:t>Erwägungen</w:t>
      </w:r>
    </w:p>
    <w:p>
      <w:r>
        <w:rPr>
          <w:b/>
        </w:rPr>
        <w:t>E. 1</w:t>
      </w:r>
    </w:p>
    <w:p>
      <w:r>
        <w:t>a) Le président du tribunal d'arrondissement est compétent pour statuer sur la recevabilité d'une opposition à une ordonnance de condamnation simple. Il statue alors dans les formes prévues à l'art. 312 CPP, applicable par analogie, et son jugement est assimilé, pour le recours, à un jugement principal rendu en contradictoire (art. 410 al. 3 CPP; JT 1996 III 169; Bovay/Dupuis/Monnier/Moreillon/Piguet, Procédure pénale vaudoise, Code annoté, 3 ème éd., 2008, nn. 2 et 5 ad art. 312 CPP, p. 337 et 7 ad art. 410 CPP, p. 455). Le présent recours, dirigé contre un prononcé présidentiel déclarant irrecevable pour vice forme une opposition formée à une ordonnance de condamnation, est donc recevable. b) Sur le plan formel, le mémoire de recours doit contenir des conclusions et les motifs à l'appui des conclusions (art. 425 al. 2 let. b et c CPP). Le recourant doit donc indiquer succinctement quelles sont les irrégularités de procédure invoquées et en quoi elles consistent (art. 425 al. 2 let. c CPP). Lorsque aucun mémoire n'a été déposé, le cour de cassation ne peut entrer en matière que si la déclaration de recours est motivée (Bovay et alii, op. cit., n. 10 ad art. 424, p. 518). En l'espèce, aucun mémoire n'a été déposé dans le délai imparti. En revanche, dans sa déclaration de recours, le condamné a conclu à une remise de peine. Cette conclusion n'a cependant pas d'objet dès lors que la déclaration d'opposition a été déclarée irrecevable pour vices de forme. Ainsi, à défaut de conclusions pertinentes et de motivation, le recours doit être déclaré irrecevable.</w:t>
      </w:r>
    </w:p>
    <w:p>
      <w:r>
        <w:rPr>
          <w:b/>
        </w:rPr>
        <w:t>E. 2</w:t>
      </w:r>
    </w:p>
    <w:p>
      <w:r>
        <w:t>Pour le surplus, même s'il avait été recevable, le présent recours aurait de toute manière dû être rejeté car mal fondé. En effet, une déclaration d'opposition sur formulaire a été présentée au recourant lors de son arrestation. A ce moment-là, il a déclaré vouloir faire opposition, mais a refusé de remplir et de signer cette déclaration d'opposition (cf. pce 13). A réception de son opposition, le premier juge a attiré l'attention du recourant sur le fait que son opposition était irrecevable en l'état et l'a enjoint à adresser au tribunal un déclaration d'opposition conforme dans un certain délai, ce que le recourant n'a pas fait. Dans ces conditions, le premier juge n'avait d'autre choix que de déclarer l'opposition irrecevable et c'est donc à bon droit qu'il a rendu la décision attaquée.</w:t>
      </w:r>
    </w:p>
    <w:p>
      <w:r>
        <w:rPr>
          <w:b/>
        </w:rPr>
        <w:t>E. 3</w:t>
      </w:r>
    </w:p>
    <w:p>
      <w:r>
        <w:t>En conclusion, le recours est irrecevable et doit ainsi être écarté aux frais de son auteur qui succombe (art. 450 al. 1 CPP). Le prononcé entrepris est quant à lui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