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92 vom 5. Februar 2010</w:t>
      </w:r>
    </w:p>
    <w:p>
      <w:r>
        <w:t>VD Tribunal cantonal, 2010-02-05, FR</w:t>
      </w:r>
    </w:p>
    <w:p>
      <w:r>
        <w:rPr>
          <w:b/>
        </w:rPr>
        <w:t xml:space="preserve">Quelle: </w:t>
      </w:r>
      <w:r>
        <w:t>https://mcp.opencaselaw.ch/entscheid/vd_findinfo_HC___2010___92</w:t>
      </w:r>
    </w:p>
    <w:p>
      <w:r>
        <w:t>FR: VD_FINDINFO HC / 2010 / 92 du 5 février 2010</w:t>
      </w:r>
    </w:p>
    <w:p>
      <w:r>
        <w:t>IT: VD_FINDINFO HC / 2010 / 92 del 5 febbraio 2010</w:t>
      </w:r>
    </w:p>
    <w:p>
      <w:pPr>
        <w:pStyle w:val="Heading2"/>
      </w:pPr>
      <w:r>
        <w:t>Regeste</w:t>
      </w:r>
    </w:p>
    <w:p>
      <w:r>
        <w:t>RÉSILIATION ABUSIVE | 336 al. 1 let. d CO</w:t>
      </w:r>
    </w:p>
    <w:p>
      <w:pPr>
        <w:pStyle w:val="Heading2"/>
      </w:pPr>
      <w:r>
        <w:t>Erwägungen</w:t>
      </w:r>
    </w:p>
    <w:p>
      <w:r>
        <w:rPr>
          <w:b/>
        </w:rPr>
        <w:t>E. 1</w:t>
      </w:r>
    </w:p>
    <w:p>
      <w:r>
        <w:t>La voie du recours en nullité (art. 444 et 445 CPC) et celle du recours en réforme (art. 451 ch. 2 CPC) est ouverte contre un jugement principal rendu par un tribunal d'arrondissement. Déposé en temps utile par une partie qui y a un intérêt, le présent recours en nullité et en réforme est recevable en la forme.</w:t>
      </w:r>
    </w:p>
    <w:p>
      <w:r>
        <w:rPr>
          <w:b/>
        </w:rPr>
        <w:t>E. 2</w:t>
      </w:r>
    </w:p>
    <w:p>
      <w:r>
        <w:t>Dans la mesure où le seul moyen invoqué par le recourant à l'appui de sa conclusion en nullité est tiré d'une prétendue "violation claire de dispositions impératives de droit administratif" consacrant l'arbitraire dans l'application du droit matériel, on ne saurait y voir un moyen de nullité au sens des art. 444 et 445 CPC, mais bien en réforme. Partant, le recours en nullité est irrecevable (cf. Poudret/Haldy/Tappy, Procédure civile vaudoise, 3 ème éd., 2002, n. 2 ad art. 465 CPC, p. 722).</w:t>
      </w:r>
    </w:p>
    <w:p>
      <w:r>
        <w:rPr>
          <w:b/>
        </w:rPr>
        <w:t>E. 2.1</w:t>
      </w:r>
    </w:p>
    <w:p>
      <w:r>
        <w:t>à 2.5 p. 116-118; 131 III 535 c. 4.2 p. 538/539). Les motifs de la résiliation relèvent du fait. De même, l'incidence respective des divers motifs de résiliation en concours est une question qui relève de la causalité naturelle et, par conséquent, du fait (ATF 131 III 535 c. 4.3 p. 540; 130 III 699 c. 4.1 p. 702). En l'espèce, au terme d'une instruction complète et approfondie, les premiers juges ont retenu que, " même si certains passagers (hommes et femmes âgés) étaient satisfaits du [recourant], ce dernier avait un comportement inadéquat avec une partie de la clientèle - les femmes jeunes. Il a aussi poursuivi de ses assiduités une collègue. Il a eu des difficultés sur certaines lignes qu'il devait emprunter. Les griefs de [l'intimée] sont ainsi dans l'ensemble établis. Ceux du [recourant] (promesses fallacieuses, mobbing) ne le sont pas" (jgt p. 18). La cour de céans peut faire siennes ces considérations de fait, qui sont convaincantes notamment à la lecture des témoignages (art. 471 al. 3 CPC). Les griefs de l'employeur relatifs au comportement du recourant dans le cadre de son activité professionnelle apparaissent avoir été déterminants au moment de prendre la décision de le licencier. En d'autres termes, ces griefs sont la véritable cause du congé. C'est également à juste titre que les premiers juges ont considéré que l'employeur avait mis fin au contrat de travail le liant au recourant sans que l'on puisse lui reprocher la manière de le faire. En effet, le Dr D.________ a déclaré notamment que la cause de l'état dépressif "moyen à sévère" vécu par le recourant après son licenciement était "la solitude majeure, le sentiment d'abandon complet et celui de ne pas maîtriser une procédure compliquée" (jgt p. 15), ce qui ne saurait être imputé à l'employeur. Quant à la "procédure juridique" évoquée dans le certificat établi le 4 septembre 2007 par le même médecin (jgt pp. 10/11), elle est la conséquence du licenciement. Enfin, le recourant ne démontre pas que la prétention qu'il élevait au sujet des démarches à entreprendre pour la conversion de son permis de conduire étranger en un permis de conduire suisse était prévue dans son contrat de travail. Même s'il avait pu comprendre, lors de son engagement, que sa situation serait régularisée de ce point de vue, le contrat de travail passé entre parties ne stipule aucune obligation de l'employeur à cet égard (cf. jgt p. 2; voir aussi la pièce 4). En particulier, aucun témoin n'est venu confirmer les allégations du recourant selon lesquelles son employeur se serait engagé à lui permettre d'obtenir un permis de conduire suisse (cf. all. 27 ss). A défaut d'une telle obligation de l'employeur, on ne saurait retenir un licenciement abusif au sens de l'art. 336 al. 1 let. d CO. On peut également relever que le recourant n'a pas établi avoir exigé avant son licenciement que l'employeur prenne en charge l'échange de son permis de conduire en exécution d'une obligation contractuelle. Les griefs du recourant à l'encontre de la résiliation de son contrat de travail sont dès lors sans fondement.</w:t>
      </w:r>
    </w:p>
    <w:p>
      <w:r>
        <w:rPr>
          <w:b/>
        </w:rPr>
        <w:t>E. 3</w:t>
      </w:r>
    </w:p>
    <w:p>
      <w:r>
        <w:t>a) Les conclusions prises en réforme ne sont ni nouvelles ni plus amples (art. 452 al. 1 CPC); bien que non chiffrées,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(JT 2003 III 3).</w:t>
      </w:r>
    </w:p>
    <w:p>
      <w:r>
        <w:rPr>
          <w:b/>
        </w:rPr>
        <w:t>E. 4</w:t>
      </w:r>
    </w:p>
    <w:p>
      <w:r>
        <w:t>a) Se prévalant de l'art. 336 al. 1 let. d CO, le recourant invoque un licenciement abusif. Il fait valoir qu'ayant été engagé en tant que chauffeur professionnel au bénéfice d'un permis de conduire étranger, "il était normal et légitime d'attendre de son employeur, entreprise de transport professionnel de personnes, la prise en charge de sa formation et à tout le moins qu'elle entreprenne les démarches nécessaires pour convertir son permis de conduire étranger en permis de conduire suisse". Il s'agissait là, soutient-il, d'une "prétention de bonne foi (qu'il) pouvait élever sur la base de son contrat de travail", aux termes de la disposition précitée. Or, son employeur n'a rien fait, se mettant dans son tort, ce qui a "contribué à dégrader la relation de confiance". Le recourant reproche aux premiers juges de n'avoir pas examiné d'office la question de l'illégalité d'une telle situation, quand bien même le grief qu'il avait soulevé à ce sujet était "fondé et grave". Il leur reproche en conséquence de n'avoir pas instruit "la question de savoir effectivement si, comme (il) le soutient, le licenciement n'était pas abusif au sens notamment de l'art. 336 al. 1 litt. d CO". b) 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 2.1 p. 116, JT 2006 I 152; 131 III 535 c. 4.1 p. 537/538; cf. également ATF 134 III 67 c. 4 p. 69). 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w:t>
      </w:r>
    </w:p>
    <w:p>
      <w:r>
        <w:rPr>
          <w:b/>
        </w:rPr>
        <w:t>E. 5</w:t>
      </w:r>
    </w:p>
    <w:p>
      <w:r>
        <w:t>En définitive, le recours doit être rejeté, en application de l'art. 465 al. 1 CPC, et le jugement confirmé. La valeur litigieuse étant supérieure à 30'000 fr., la procédure n'est pas gratuite (art. 343 al. 2 CO). Les frais de deuxième instance du recourant sont arrêtés à 650 fr. (art. 232 et 235 TFJC). Par ces motifs, la Chambre des recours du Tribunal cantonal, statuant à huis clos, en application de l'art. 465 al. 1 CPC, prononce : I. Le recours est rejeté. II. Le jugement est confirmé. III. Les frais de deuxième instance du recourant T.________ sont arrêtés à 650 fr. (six cent cinquante francs). IV. L'arrêt motivé est exécutoire. L e président : L e greffi er : Du 5 février 2010 Le dispositif de l'arrêt qui précède est communiqué par écrit aux intéressés. L e greffi er : Du L'arrêt qui précède, dont la rédaction a été approuvée à huis clos, est notifié en expédition complète, par l'envoi de photocopies, à : ‑      Me Jean Arnaux de Mestral (pour T.________), ‑      Me Jean-Michel Henny (pour E.________ SA).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