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91 vom 22. Februar 2010</w:t>
      </w:r>
    </w:p>
    <w:p>
      <w:r>
        <w:t>VD Tribunal cantonal, 2010-02-22, FR</w:t>
      </w:r>
    </w:p>
    <w:p>
      <w:r>
        <w:rPr>
          <w:b/>
        </w:rPr>
        <w:t xml:space="preserve">Quelle: </w:t>
      </w:r>
      <w:r>
        <w:t>https://mcp.opencaselaw.ch/entscheid/vd_findinfo_HC___2010___91</w:t>
      </w:r>
    </w:p>
    <w:p>
      <w:r>
        <w:t>FR: VD_FINDINFO HC / 2010 / 91 du 22 février 2010</w:t>
      </w:r>
    </w:p>
    <w:p>
      <w:r>
        <w:t>IT: VD_FINDINFO HC / 2010 / 91 del 22 febbraio 2010</w:t>
      </w:r>
    </w:p>
    <w:p>
      <w:pPr>
        <w:pStyle w:val="Heading2"/>
      </w:pPr>
      <w:r>
        <w:t>Regeste</w:t>
      </w:r>
    </w:p>
    <w:p>
      <w:r>
        <w:t>EFFETS ACCESSOIRES DU DIVORCE, SURVENANCE DU CAS D'ASSURANCE, PRESTATION DE PRÉVOYANCE, RENTE{EN GÉNÉRAL}, INDEMNITÉ ÉQUITABLE | 124 al. 1 CC</w:t>
      </w:r>
    </w:p>
    <w:p>
      <w:pPr>
        <w:pStyle w:val="Heading2"/>
      </w:pPr>
      <w:r>
        <w:t>Erwägungen</w:t>
      </w:r>
    </w:p>
    <w:p>
      <w:r>
        <w:rPr>
          <w:b/>
        </w:rPr>
        <w:t>E. 1</w:t>
      </w:r>
    </w:p>
    <w:p>
      <w:r>
        <w:t>Les art. 444, 445 et 451 ch. 2 CPC (Code de procédure civile du 14 décembre 1966; RSV 270.11) ouvrent la voie des recours en nullité et en réforme contre les jugements principaux rendus par un tribunal d'arrondissement. Le recours, uniquement en réforme, déposé en temps utile, est ainsi recevable.</w:t>
      </w:r>
    </w:p>
    <w:p>
      <w:r>
        <w:rPr>
          <w:b/>
        </w:rPr>
        <w:t>E. 2</w:t>
      </w:r>
    </w:p>
    <w:p>
      <w:r>
        <w:t>a) Saisie d'un recours en réforme contre un jugement principal rendu par un tribunal d'arrondissement, le Tribunal cantonal revoit librement la cause en fait et en droit (art. 452 al. 2 CPC). Il développe ainsi son raisonnement juridique après avoir vérifié la conformité de l'état de fait du jugement aux preuves figurant dans le dossier et après avoir, cas échéant, corrigé ou complété celui-ci au moyen desdites preuves. En matière de jugement de divorce, les parties peuvent invoquer des faits et des moyens de preuve nouveaux devant l'instance cantonale supérieure (art. 138 al. 1 CC [Code civil du 10 décembre 1907; RS 210] auquel renvoie l'art. 374c CPC, Leuenberger, Basler Kommentar, 3 ème éd., 2006, n. 2 ad art. 138 CC, p. 883). b) La pièce produite par le recourant, à savoir une lettre de l'agence communale d'assurances sociales de Lausanne du 20 octobre 2009, est ainsi recevable. Il en ressort que le montant de la rente AVS mensuelle du recourant à compter du 1 er octobre 2013 est estimée à 1'614 francs. On lit en outre dans cette correspondance qu'un « changement de la rente AVS/AI influencera les prestations complémentaires dans les mêmes proportions que la modification de la rente ».</w:t>
      </w:r>
    </w:p>
    <w:p>
      <w:r>
        <w:rPr>
          <w:b/>
        </w:rPr>
        <w:t>E. 3</w:t>
      </w:r>
    </w:p>
    <w:p>
      <w:r>
        <w:t>a) Le recourant prétend que l'indemnité équitable mise à sa charge dès qu'il aura atteint l'âge de la retraite entamera son minimum vital élargi, ce que la jurisprudence prohiberait. Il fait valoir que, dès cet âge, soit dès le 1 er décembre 2013, ses revenus s'élèveront à 2'780 fr. par mois (rente LPP de 1'166 fr. et rente AVS de 1'614 fr.). Déduction faite de son loyer, qui s'élève actuellement à 701 fr., et de son entretien, par 1'200 fr. selon les normes en vigueur, il lui restera selon lui seulement de quoi s'acquitter de primes d'assurance maladie, pour lesquelles il ne bénéficiera plus de subsides, et d'impôts, dont il ne sera plus exempté. b) Selon l'art. 124 al. 1 CC, une indemnité équitable est due lorsqu'un cas de prévoyance est déjà survenu pour l'un des époux ou pour les deux ou que les prétentions en matière de prévoyance professionnelle acquises durant le mariage ne peuvent être partagées pour d'autres motifs. Le versement d'avoirs de prévoyance durant le mariage implique donc la fixation d'une indemnité équitable au sens de l'art. 124 CC (Pichonnaz/Rumo-Jungo, Prévoyance et droit patrimonial de la famille, in Droit patrimonial de la famille, Zurich 2004, pp. 20-21 et 24-25). Le droit fédéral impose au juge, en cas de survenance d'un cas de prévoyance, de statuer d'office sur le montant et la forme de l'indemnité équitable, les maximes d'office et inquisitoire étant applicables (TF 5C.103/2002 du 18 juillet 2002 c. 5, publié in La pratique du droit de la famille [FamPra] 2003 p. 147). Le juge doit prendre sa décision conformément aux règles du droit et de l'équité (art. 4 CC ; ATF 129 III 481 c. 3.4, JT 2003 I 760). Pour la fixation de l'indemnité équitable selon l'art. 124 CC, il faut prendre en considération l'option de base du législateur à l'art. 122 CC, à savoir que les avoirs de prévoyance accumulés durant le mariage doivent en principe être partagés par moitié entre les époux. Toutefois, il ne saurait être question de fixer schématiquement, sans tenir compte de la situation économique des parties, une indemnité qui corresponde dans son résultat à un partage par moitié des avoirs de prévoyance. Il convient au contraire de tenir compte de façon adéquate de la situation patrimoniale après la liquidation du régime matrimonial, ainsi que des autres éléments de la situation économique des époux après divorce (ATF 129 III 481 c. 3.4.1, JT 2003 I 760), en particulier la durée du mariage, l'âge des conjoints, leurs situations économiques et leurs besoins respectifs (TF 5C.128/2003 du 12 septem-bre 2003). Toutefois, si le cas de prévoyance est survenu de nombreuses années avant le divorce, il ne faut pas fixer le montant de la rente en se fondant sur les principes de l'art. 122 CC (partage par moitié d'un avoir de prévoyance hypothétique); dans un tel cas, ce sont surtout les besoins concrets de prévoyance des deux époux qui sont déterminants (ATF 131 III 1 c. 5 et 6, JT 2006 I 7; TF 5C.12/2006 du 15 mars 2006 c. 1). Le Tribunal fédéral n'a pas tranché la question de savoir si le débirentier peut ou non être tenu d'entamer son minimum vital élargi pour s'acquitter de l'indemnité équitable selon l'art. 124 CC. La doctrine est partagée (cf. Pichonnaz / Rumo-Jungo, Droit patrimonial de la famille, 2004, pp. 22-23). A la différence de l'indemnité selon l'art. 125 CC, l'indemnité selon l'art. 124 CC n'est pas une indemnité d'assistance. Il ne paraît ainsi pas exclu, suivant les circonstances, que le minimum vital de l'époux débiteur puisse être entamé (cf. Trigo Trindade, SJ 2000 II, p. 492, note 156). La cour de céans a toutefois laissé la question ouverte (CREC, 20 février 2006, n° 216/II c. 4e). c) En l'espèce, on ignore ce qu'il en sera exactement des subsides d'assurance maladie et des impôts du recourant lorsqu'il aura atteint l'âge de la retraite. Cela étant, l'octroi des premiers et le prélèvement des seconds dépendent de la situation particulière de l'intéressé, de sorte qu'une augmentation de son revenu ne devrait pas péjorer sa situation. Quoi qu'il en soit, il n'est pas établi que le minimum vital du recourant sera entamé. En effet, même à le suivre et à considérer que ses revenus s'élèveront à 2'780 fr. par mois, déduction faite de son entretien personnel estimé à 1'440 fr. (montant de base de 1'200 fr. augmenté de 20 %), de son loyer de 701 fr., et de l'indemnité équitable de 200 fr. allouée par les premiers juges, il lui restera 439 fr. par mois pour d'éventuels impôts et primes d'assurances maladies. En revanche, il est certain que le revenu de l'intimée, qui ne comprendra - abstraction faite de prestations d'aide sociale - qu'une rente AVS dont le montant s'élèvera à 907 fr. et une rente LPP extrêmement réduite, sera moins élevé que le revenu du recourant. Statuant en équité, les premiers juges pouvaient se fonder sur cette seule différence de revenus pour allouer à l'intimée la contribution litigieuse. Mal fondé, le grief est rejeté.</w:t>
      </w:r>
    </w:p>
    <w:p>
      <w:r>
        <w:rPr>
          <w:b/>
        </w:rPr>
        <w:t>E. 4</w:t>
      </w:r>
    </w:p>
    <w:p>
      <w:r>
        <w:t>Compte tenu de ce qui précède, le recours doit être rejeté en application de l'art. 465 al. 1 CPC et le jugement confirmé. Les frais de justice du recourant sont arrêtés à 300 fr. (art. 233 al. 1 TFJC [Tarif du 4 décembre 1984 des frais judiciaires en matière civile, RSV 270.11.5]). Par ces motifs, la Chambre des recours du Tribunal cantonal, statuant à huis clos, en application de l'art. 465 al. 1 CPC, prononce : I. Le recours est rejeté. II. Le jugement est confirmé. III. Les frais de deuxième instance du recourant F.________ sont arrêtés à 300 fr. (trois cents francs). IV. L'arrêt motivé est exécutoire. L e président : L a greffi ère : Du 22 février 2010 Le dispositif de l'arrêt qui précède est communiqué par écrit aux intéressés. L a greffi ère : Du L'arrêt qui précède, dont la rédaction a été approuvée à huis clos, est notifié en expédition complète, par l'envoi de photocopies, à : ‑      Me Olivier Subilia (pour F.________), ‑      Me Marie-Laure Micheli (pour V.________). La Chambre des recours considère que la valeur litigieuse est de 200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Lausanne.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