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90 vom 12. Januar 2010</w:t>
      </w:r>
    </w:p>
    <w:p>
      <w:r>
        <w:t>VD Tribunal cantonal, 2010-01-12, FR</w:t>
      </w:r>
    </w:p>
    <w:p>
      <w:r>
        <w:rPr>
          <w:b/>
        </w:rPr>
        <w:t xml:space="preserve">Quelle: </w:t>
      </w:r>
      <w:r>
        <w:t>https://mcp.opencaselaw.ch/entscheid/vd_findinfo_HC___2010___90</w:t>
      </w:r>
    </w:p>
    <w:p>
      <w:r>
        <w:t>FR: VD_FINDINFO HC / 2010 / 90 du 12 janvier 2010</w:t>
      </w:r>
    </w:p>
    <w:p>
      <w:r>
        <w:t>IT: VD_FINDINFO HC / 2010 / 90 del 12 gennaio 2010</w:t>
      </w:r>
    </w:p>
    <w:p>
      <w:pPr>
        <w:pStyle w:val="Heading2"/>
      </w:pPr>
      <w:r>
        <w:t>Regeste</w:t>
      </w:r>
    </w:p>
    <w:p>
      <w:r>
        <w:t>FIXATION DE LA PEINE, PEINE PÉCUNIAIRE, SURSIS À L'EXÉCUTION DE LA PEINE, RÉVOCATION DU SURSIS | 34 CP, 42 CP, 46 al. 1 CP, 47 CP, 415 CPP, 431 al. 2 CPP</w:t>
      </w:r>
    </w:p>
    <w:p>
      <w:pPr>
        <w:pStyle w:val="Heading2"/>
      </w:pPr>
      <w:r>
        <w:t>Erwägungen</w:t>
      </w:r>
    </w:p>
    <w:p>
      <w:r>
        <w:rPr>
          <w:b/>
        </w:rPr>
        <w:t>E. 1</w:t>
      </w:r>
    </w:p>
    <w:p>
      <w:r>
        <w:t>Le recours de U.________ tend exclusivement à la réforme du jugement entrepris. Dans un tel cas,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 Il n'y en a pas en l'espèce.</w:t>
      </w:r>
    </w:p>
    <w:p>
      <w:r>
        <w:rPr>
          <w:b/>
        </w:rPr>
        <w:t>E. 2</w:t>
      </w:r>
    </w:p>
    <w:p>
      <w:r>
        <w:t>S'il affirme ne pas contester la faute qu'il a commise et les conséquences dramatiques que celle-ci a eues, le recourant estime que c'est à tort  que les premiers juges ont écarté d'emblée le prononcé d'une peine pécuniaire en ce qui le concerne et lui ont infligé une peine privative de liberté. Ce faisant, il invoque implicitement une fausse application de l'art. 34 CP, comme le relève le Ministère public. a ) D'après la conception des nouvelles dispositions de la partie générale du code pénal, la peine pécuniaire constitue la sanction principale dans le domaine de la petite et moyenne criminalité (ATF 134 IV 97 c.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p. 101, 82 c. 4.1 p. 85). A cet égard, une peine pécuniaire, qui atteint l'intéressé dans son patrimoine, constitue une sanction plus clémente qu'une peine privative de liberté, qui l'atteint dans sa liberté personnelle (TF 6B_289/2009).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p. 101/102, 60 c. 4.3 p. 65). Le choix du type de sanction doit être opéré en tenant compte au premier chef de l'adéquation d'une sanction déterminée, de ses effets sur l'auteur et sur sa situation sociale ainsi que de son efficacité du point de vue de la prévention (ATF 134 IV 97 c. 4.2 p. 100, 82 c. 4.1 p. 84/85). La situation économique de l'auteur ou le fait que son insolvabilité apparaisse prévisible ne constituent en revanche pas des critères pertinents pour choisir la nature de la sanction (ATF 134 IV 97 c.. 5.2.3). Quant à la seule mention d'une culpabilité importante et d'antécédents lourds, elle est insuffisante au regard des exigences de motivation déduites de l'art. 50 CP (TF 6B_289/2009, précité). b) En l'occurrence, le tribunal a estimé qu'une sanction prononcée sous la forme de peine pécuniaire n'aurait aucun sens à l'égard d'un conducteur qui avait déjà été condamné par deux fois à des peines d'emprisonnement avec sursis et à des amendes pour ébriété au volant et qui n'avait pas modifié son comportement routier depuis lors. Il est en effet absurde de considérer qu'en infligeant une peine moins lourde aujourd'hui, on aurait plus de succès là où le prononcé de peines plus dissuasives a échoué. Comme le souligne le Ministère public en se référant à la jurisprudence du Tribunal fédéral (TF 6B_28/2008 du 10 avril 2008), il convient, pour fixer la peine, de prendre en considération l'opportunité de la sanction déterminée, ses effets sur l'auteur et son milieu social ainsi que son efficacité préventive. Tel a précisément été la manière de faire des premiers juges: U.________ se voit aujourd'hui être condamné pour la quatrième fois pénalement et il s'agit de la troisième ivresse au volant commise, l'accident dont il est l'auteur ayant eu des conséquences très graves pour autrui. Le prononcé d'une peine sous forme de jours-amende est, dans ces circonstances, clairement inopportune et, mal fondé, le moyen ne peut qu'être rejeté.</w:t>
      </w:r>
    </w:p>
    <w:p>
      <w:r>
        <w:rPr>
          <w:b/>
        </w:rPr>
        <w:t>E. 3</w:t>
      </w:r>
    </w:p>
    <w:p>
      <w:r>
        <w:t>Tout en ne s'opposant pas à ce que le nombre de jours-amende soit fixé à son maximum, le recourant soutient subsidiairement que, si le prononcé de la peine privative de liberté est maintenu, la quotité de cette peine est excessive. a) Selon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(art. 415 al. 3 CPP; TF 6B_710/2007 du 6 février 2008, c. 3.2 et les réf. cit.). b) Lorsqu'il a fixé la peine, le tribunal a souligné que les infractions commises entraient en concours, que les fautes étaient lourdes, à la fois en raison de la durée de l'inattention et du fait que l'accusé avait fait fi des sérieuses mises en garde que constituaient les deux condamnations précédentes dont il avait fait l'objet pour ivresse au volant. Les premiers juges ont estimé qu'en portant son intérêt dans la direction opposée à celle du trafic lors de la discussion avec sa passagère et en entreprenant une manœuvre de circulation susceptible d'exposer les autres usagers à de graves conséquences - qui se sont malheureusement concrétisées -U.________ s'était comporté en conducteur irresponsable et, de fait, qu'il devait être sévèrement sanctionné. A décharge, le tribunal a aussi souligné que l'accusé s'était exprimé avec franchise aux débats et qu'il avait, par l'adhésion aux conclusions civiles des plaignants, traduit une volonté de réparer. La lecture du jugement permet ainsi de constater que le tribunal ne s'est pas laissé guider par des éléments extérieurs à l'art. 47 CP. La peine qu'il a prononcée ne choque pas par sa sévérité et, partant, échappe au grief d'arbitraire. Elle peut ainsi être confirmée et, mal fondé, le moyen doit être rejeté.</w:t>
      </w:r>
    </w:p>
    <w:p>
      <w:r>
        <w:rPr>
          <w:b/>
        </w:rPr>
        <w:t>E. 4</w:t>
      </w:r>
    </w:p>
    <w:p>
      <w:r>
        <w:t>Le recourant fait ensuite grief au tribunal de ne pas avoir assorti la peine prononcée d'un sursis complet. Il estime à cet égard que le sursis partiel qui lui a été octroyé n'est pas suffisant.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En l'espèce, le tribunal a estimé que le pronostic était très clairement défavorable, vu les antécédents du recourant en matière de conduite. Cette appréciation n'est pas arbitraire, ce d'autant que l'intéressé est apparu aux premiers juges comme une personne ayant un penchant marqué pour l'alcool (cf. jgt, p. 14). A cet égard, la précision apportée par le tribunal quant au rapport médical du Dr [...], qu'il n'a pas retenu, est tout à fait pertinente (cf. jgt, p. 7) et ne peut qu'être suivie. La motivation du tribunal, qui a choisi de faire bénéficier U.________ d'un sursis partiel, est complète et convaincante et ne peut qu'être confirmée. Mal fondé, ce moyen doit aussi être rejeté.</w:t>
      </w:r>
    </w:p>
    <w:p>
      <w:r>
        <w:rPr>
          <w:b/>
        </w:rPr>
        <w:t>E. 5</w:t>
      </w:r>
    </w:p>
    <w:p>
      <w:r>
        <w:t>Le recourant fait enfin valoir que, faute de pouvoir émettre un pronostic défavorable dans le cas particulier, le tribunal n'était pas en mesure de révoquer le sursis qui lui avait été accordé le 30 mai 2006 par le Juge d'instruction du Bas-Valais. a) Selon l'art. 46 al. 1 CP, si, durant le délai d'épreuve, le condamné commet un crime ou un délit et qu'il y a dès lors lieu de prévoir qu'il commettra de nouvelles infractions, le juge révoque le sursis ou le sursis partiel. Ainsi, le sursis ne peut être révoqué que si, outre la commission d'un nouveau crime ou délit durant le délai imparti, il y a lieu de prévoir que le condamné commettra de nouvelles infractions. Comme pour l'octroi du sursis selon l'art. 42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(TF 6B_296/2007 du 30 août 2007, c. 1.2 et les réf. cit.). Le sursis ne peut donc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En l'occurrence, le recourant se trompe lorsqu'il considère que le tribunal ne pouvait émettre un pronostic défavorable en ce qui le concerne. Tel est bien le cas et cette décision échappe, on l'a vu, à tout arbitraire. Dans ces circonstances, c'est à juste titre que le tribunal a révoqué la condamnation précédemment infligée par le magistrat valaisan, U.________ ayant commis de graves délits en concours durant le délai d'épreuve, cela dans le même domaine qu'auparavant, en conduisant une fois de plus en état d'ébriété qualifiée. Mal fondé, le moyen ne peut qu'être rejeté.</w:t>
      </w:r>
    </w:p>
    <w:p>
      <w:r>
        <w:rPr>
          <w:b/>
        </w:rPr>
        <w:t>E. 6</w:t>
      </w:r>
    </w:p>
    <w:p>
      <w:r>
        <w:t>En définitive, aucun des moyens invoqués par le recourant n'est retenu. Son recours doit être intégralement rejeté et le jugement confirmé, les frais de deuxième instance étant mis à sa charge,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