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82 vom 4. Dezember 2009</w:t>
      </w:r>
    </w:p>
    <w:p>
      <w:r>
        <w:t>VD Tribunal cantonal, 2009-12-04, FR</w:t>
      </w:r>
    </w:p>
    <w:p>
      <w:r>
        <w:rPr>
          <w:b/>
        </w:rPr>
        <w:t xml:space="preserve">Quelle: </w:t>
      </w:r>
      <w:r>
        <w:t>https://mcp.opencaselaw.ch/entscheid/vd_findinfo_HC___2010___82</w:t>
      </w:r>
    </w:p>
    <w:p>
      <w:r>
        <w:t>FR: VD_FINDINFO HC / 2010 / 82 du 4 décembre 2009</w:t>
      </w:r>
    </w:p>
    <w:p>
      <w:r>
        <w:t>IT: VD_FINDINFO HC / 2010 / 82 del 4 dicembre 2009</w:t>
      </w:r>
    </w:p>
    <w:p>
      <w:pPr>
        <w:pStyle w:val="Heading2"/>
      </w:pPr>
      <w:r>
        <w:t>Regeste</w:t>
      </w:r>
    </w:p>
    <w:p>
      <w:r>
        <w:t>BAIL À LOYER, FRAIS{EN GÉNÉRAL}, RÉTABLISSEMENT DE L'ÉTAT ANTÉRIEUR, JUGEMENT PAR DÉFAUT, EXACTITUDE, PRÉSOMPTION | 308 al. 2 CPC, 451 ch. 3 CPC, 452 al. 2 CPC, 465 al. 1 CPC, 471 al. 3 CPC, 13 LTB</w:t>
      </w:r>
    </w:p>
    <w:p>
      <w:pPr>
        <w:pStyle w:val="Heading2"/>
      </w:pPr>
      <w:r>
        <w:t>Erwägungen</w:t>
      </w:r>
    </w:p>
    <w:p>
      <w:r>
        <w:rPr>
          <w:b/>
        </w:rPr>
        <w:t>E. 1</w:t>
      </w:r>
    </w:p>
    <w:p>
      <w:r>
        <w:t>Les art. 444, 445 et 451 ch. 3 CPC, applicables par renvoi de l'art. 13 LTB (loi du 13 décembre 1981 sur le Tribunal des baux; RSV 173.655), ouvrent la voie des recours en nullité et en réforme contre les jugements principaux rendus par le Président du Tribunal des baux. Interjeté en temps utile, le recours tend à la réforme du jugement.</w:t>
      </w:r>
    </w:p>
    <w:p>
      <w:r>
        <w:rPr>
          <w:b/>
        </w:rPr>
        <w:t>E. 2</w:t>
      </w:r>
    </w:p>
    <w:p>
      <w:r>
        <w:t>Saisie d'un recours en réforme interjeté contre un jugement principal du Président du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son raisonnement juridique après avoir vérifié la conformité de l'état de fait du jugement aux preuves figurant au dossier et l'avoir, le cas échéant, corrigé ou complété au moyen de celles-ci (JT 2003 III 3).</w:t>
      </w:r>
    </w:p>
    <w:p>
      <w:r>
        <w:rPr>
          <w:b/>
        </w:rPr>
        <w:t>E. 3</w:t>
      </w:r>
    </w:p>
    <w:p>
      <w:r>
        <w:t>A propos des frais de remise en état qu'elle réclame, la recourante soutient que le premier juge a fait une fausse application de l'art. 308 al. 2 CPC et de la jurisprudence de la cour de céans, rendue à cet égard. Le jugement dont est recours relate de manière adéquate et complète les normes auxquelles la recourante se réfère (cf. p. 3). Il relève que, selon l'art. 308 al. 2 CPC, applicable devant le Tribunal des baux par le renvoi des art.15 LTB et 355 CPC, les faits allégués par la partie présente doivent être tenus pour vrais pour autant qu'ils ne sont pas contraires au dossier et que les faits allégués par la partie défaillante ne sont pas prouvés. Il ajoute que, lorsque l'une des parties fait défaut à l'audience de jugement, la présomption de véracité de l'art. 308 al. 2 CPC ne s'étend pas seulement aux allégations écrites, mais aussi aux faits et allégués qui ressortent des pièces produites par la partie présente ainsi qu'aux éléments qui découlent du procès-verbal, y compris les déclarations en audience de la partie présente, à tout le moins lorsque celles-ci ont été consignées au procès-verbal (Poudret/Haldy/Tappy, Procédure civile vaudoise, 3 ème éd., 2002, n. 1 ad art. 308 CPC, p. 474; CREC I n° 614/I du 8 avril 2008 et n° 510/I du 7 octobre 2009). En l'espèce, le premier juge a fait application de ces principes. Il a tenu compte des faits allégués par la demanderesse et des pièces qu'elle a produites. Il a retenu en particulier que, selon une facture du 10 janvier 2008 - qui reprend les montants d'autres factures adressées par diverses entreprises à la demanderesse - (cf. pièces 11 et 17 ss), celle-ci avait assumé des frais de remise en état des locaux pour un montant de 2'587 fr. 90. Se fondant sur les règles du droit du bail, notamment sur celle selon laquelle le locataire ne répond que des défauts ou dégâts qui n'existaient pas lors de son entrée dans les locaux (cf. jt, p. 7), il a cependant considéré qu'au vu de l'état des lieux qui avait été dressé avant que la défenderesse ne prenne possession de l'appartement, les réparations et travaux de réfection auxquels la demanderesse avait fait procéder ne pouvaient être totalement imputés à celle-ci. Il est parvenu en effet à la conclusion que sur le montant de 604 fr. 05 mentionné dans la facture, seuls le coût du remplacement du siège de WC (42 fr.) et les frais de main-d'œuvre correspondants (100 fr.) pouvaient être mis à la charge de la défenderesse, l'usure affectant la robinetterie de la salle de bains étant préexistante à son entrée dans les lieux. De même, il a relevé que la prétention de 122 fr. 65 relative à la réparation du parquet de la chambre n° 1 (cf. pièces 11 et 21) ne pouvait lui être réclamée, le mauvais état de cet ouvrage datant d'avant l'établissement de l'état des lieux. A cet égard, on peut relever que si, dans l'un des deux arrêts que la recourante cite pour étayer son argumentation, la Chambre des recours a effectivement considéré qu'en alléguant des frais de remise en état, le bailleur avait suffisamment allégué que ces frais résultaient de défauts imputables au locataire dès lors que rien au dossier n'établissait le contraire (CREC I n° 510/I du 7 octobre 2009), il ne peut en être de même en l'espèce : en effet, s'il résulte bien des factures produites par la recourante qu'elle a dû assumer pour 2'587 fr. 90 de frais de remise en état, il ressort cependant de l'état des lieux d'entrée qu'elle a produit que certains des défauts ayant nécessité une réparation existaient déjà avant l'arrivée de la défenderesse dans les lieux. Par conséquent, dans la mesure où la recourante conclut à l'allocation de 2'587 fr. 90 et que seuls 2'001 fr. 20 lui sont dus pour les motifs pertinents que le premier juge a développés en droit, le recours doit être rejeté.</w:t>
      </w:r>
    </w:p>
    <w:p>
      <w:r>
        <w:rPr>
          <w:b/>
        </w:rPr>
        <w:t>E. 4</w:t>
      </w:r>
    </w:p>
    <w:p>
      <w:r>
        <w:t>Quant aux conclusions qu'elle a prises en deuxième instance, la recourante n'indique pas pour quels motifs le point de départ et le taux de l'intérêt que le premier juge lui a alloué devraient être modifiés pour l'un ou l'autre des postes considérés. Le premier juge a développé à cet égard des motifs adéquats et pertinents en droit qui peuvent être confirmés par adoption de motifs en application de l'art. 471 al. 3 CPC.</w:t>
      </w:r>
    </w:p>
    <w:p>
      <w:r>
        <w:rPr>
          <w:b/>
        </w:rPr>
        <w:t>E. 5</w:t>
      </w:r>
    </w:p>
    <w:p>
      <w:r>
        <w:t>Enfin, la recourante demande la libération de la garantie de loyer de 2'600 fr. en sa faveur (cf. conc. II let. b). Le premier juge a statué en ce sens au chiffre II du dispositif du jugement (cf. aussi jgt, p. 11, en bas). Il n'est donc pas nécessaire de revenir sur ce point.</w:t>
      </w:r>
    </w:p>
    <w:p>
      <w:r>
        <w:rPr>
          <w:b/>
        </w:rPr>
        <w:t>E. 6</w:t>
      </w:r>
    </w:p>
    <w:p>
      <w:r>
        <w:t>Par conséquent, le recours doit être rejeté et le jugement confirmé. Les frais de deuxième instance de la recourante sont arrêtés à 150 francs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D.________ SA sont arrêtés à 150 fr. (cent cinquante francs). IV. L'arrêt motivé est exécutoire. Le président : La greffière : Du 4 décembre 2009 Le dispositif de l'arrêt qui précède est communiqué par écrit aux intéressés. La greffière : Du L'arrêt qui précède, dont la rédaction a été approuvée à huis clos, est notifié en expédition complète, par l'envoi de photocopies, à : ‑      M. Jean-Marc Schlaeppi, agent d'affaires breveté (pour D.________ SA) , ‑      Mme Q.________ (sans domicile connu)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