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81 vom 8. Dezember 2009</w:t>
      </w:r>
    </w:p>
    <w:p>
      <w:r>
        <w:t>VD Tribunal cantonal, 2009-12-08, FR</w:t>
      </w:r>
    </w:p>
    <w:p>
      <w:r>
        <w:rPr>
          <w:b/>
        </w:rPr>
        <w:t xml:space="preserve">Quelle: </w:t>
      </w:r>
      <w:r>
        <w:t>https://mcp.opencaselaw.ch/entscheid/vd_findinfo_HC___2010___81</w:t>
      </w:r>
    </w:p>
    <w:p>
      <w:r>
        <w:t>FR: VD_FINDINFO HC / 2010 / 81 du 8 décembre 2009</w:t>
      </w:r>
    </w:p>
    <w:p>
      <w:r>
        <w:t>IT: VD_FINDINFO HC / 2010 / 81 del 8 dicembre 2009</w:t>
      </w:r>
    </w:p>
    <w:p>
      <w:pPr>
        <w:pStyle w:val="Heading2"/>
      </w:pPr>
      <w:r>
        <w:t>Regeste</w:t>
      </w:r>
    </w:p>
    <w:p>
      <w:r>
        <w:t>LIBÉRATION CONDITIONNELLE, RÉVOCATION{EN GÉNÉRAL}, CONSOMMATION DE STUPÉFIANTS, PROPORTIONNALITÉ | 95 al. 5 CP, 95 CP, 485m CPP, 26 LEP, 38 al. 1 LEP, 54 CPM</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LEP (Loi sur l'exécution des condamnations pénales du 4 juillet 2006, RSV 340.01). Il est notamment compétent pour statuer sur la réintégration du condamné dans l'exécution de la peine ou de la mesure (art. 95 al. 5 CP [Code pénal suisse du 21 décembre 1937; RS 311.0]) (art. 26 al. 1 let. e LEP). La compétence du juge d'application des peines est également donnée dans ce cas notamment lorsque la condamnation repose sur le CPM (Code pénal militaire du 13 juin 1927; RS 321.0) en vertu de l'art. 54 CPM qui renvoi expressément aux art. 93 à 96 CP.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formellement recevable.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2</w:t>
      </w:r>
    </w:p>
    <w:p>
      <w:r>
        <w:t>Le recourant estime que le premier juge a abusé de son pouvoir d'appréciation et a violé le principe de la proportionnalité en ne tenant pas compte de son changement de comportement depuis la naissance de sa fille. En effet, depuis cette date, ses prises d'urine ne se sont révélées positives qu'au THC, exception faite de celles positives aux opiacés, mais liées à sa consommation de sirop contre la toux contenant de la codéine. Quant à ses absences aux rendez-vous du CAP, le recourant relève qu'elles ont toutes été justifiées. a) Aux termes de l'art. 89 al. 3 CP, l'art. 95 al. 3 à 5 CP est applicable si la personne libérée conditionnellement se soustrait à l'assistance de probation ou si elle viole les règles de conduite. Dans ce dernier cas, le juge peut notamment prolonger le délai d'épreuve, ordonner une nouvelle assistance de probation, modifier les règles de conduite (art. 95 al. 4 CP) ou ordonner la réintégration dans l'exécution de la peine à la condition qu'il soit sérieusement à craindre que le condamné ne commette de nouvelles infractions (al. 5). b) En l'espèce, le recourant ne conteste pas les manquements qui lui sont reprochés, mais tente de les expliquer, à tout le moins pour ceux s'étant produits après le 5 septembre 2009, date de la naissance de sa fille et partant du nouveau départ qu'il prétend avoir pris. S'il est vrai que, depuis cette date, les prises d'urine du recourant ne se sont révélées positives qu'au THC et aux opiacés, alors qu'avant, la cocaïne faisait également partie des substances contrôlées, il n'en demeure pas moins qu'Z.________ n'a pas observé les conditions de sa libération conditionnelle depuis la réalisation de celle-ci, en ne s'abstenant pas de consommer des produits stupéfiants. On ne peut en effet suivre le recourant dans son raisonnement lorsqu'il cherche à minimiser les résultats de ses prises d'urine en alléguant qu'elles n'étaient positives qu'au THC. Le cannabis est un stupéfiant et l'abstinence dont le recourant devait faire preuve portait donc aussi sur ce produit. Quant à la présence d'opiacés dans ses urines, elle n'est également pas excusable, à tout le moins en ce qui concerne les tests effectués au mois d'octobre 2009 ou avant. Les seules déclarations du recourant ne sont en effet pas une preuve suffisante de la consommation d'un sirop contre la toux contenant de la codéine. Seules les prises d'urine positives aux opiacés des 11et 16 novembre 2009 peuvent être partiellement justifiées par l'ordonnance de la Consultation de médecine interne du CHUV, tout en relevant que cette ordonnance est datée du 12 novembre 2009, soit postérieurement à la première prise d'urine précitée. Elle ne justifie dès lors pas la prise d'urine positive du 11 novembre 2009. Sur la base de ce qui précède, force est de constater que le recourant a été incapable de se soumettre aux conditions de sa libération conditionnelle, malgré les deux chances de se ressaisir qui lui ont été offertes. Si la situation s'est effectivement améliorée après la naissance de son enfant, l'abstinence n'a toutefois pas été respectée. Le recourant a ainsi continué de violer les règles de conduite qui lui avaient été imposées. Partant, dans la mesure où il a déjà bénéficié en lieu et place d'une révocation, d'une prolongation de son délai d'épreuve, et qu'il a été dans l'incapacité de s'amender, c'est à juste titre que le premier juge a prononcé la révocation de sa libération conditionnelle et la réintégration dans l'exécution du solde de sa peine.</w:t>
      </w:r>
    </w:p>
    <w:p>
      <w:r>
        <w:rPr>
          <w:b/>
        </w:rPr>
        <w:t>E. 3</w:t>
      </w:r>
    </w:p>
    <w:p>
      <w:r>
        <w:t>En conclusion, le recours doit être rejeté et le jugement entrepris confirmé. Conformément aux art. 485v CPP et 23 al. 3 TFJP (Tarif des frais judiciaires pénaux du 7 octobre 2003; RSV 312.03.1), les frais de deuxième instance seront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