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76 vom 22. Dezember 2009</w:t>
      </w:r>
    </w:p>
    <w:p>
      <w:r>
        <w:t>VD Tribunal cantonal, 2009-12-22, FR</w:t>
      </w:r>
    </w:p>
    <w:p>
      <w:r>
        <w:rPr>
          <w:b/>
        </w:rPr>
        <w:t xml:space="preserve">Quelle: </w:t>
      </w:r>
      <w:r>
        <w:t>https://mcp.opencaselaw.ch/entscheid/vd_findinfo_HC___2010___76</w:t>
      </w:r>
    </w:p>
    <w:p>
      <w:r>
        <w:t>FR: VD_FINDINFO HC / 2010 / 76 du 22 décembre 2009</w:t>
      </w:r>
    </w:p>
    <w:p>
      <w:r>
        <w:t>IT: VD_FINDINFO HC / 2010 / 76 del 22 dicembre 2009</w:t>
      </w:r>
    </w:p>
    <w:p>
      <w:pPr>
        <w:pStyle w:val="Heading2"/>
      </w:pPr>
      <w:r>
        <w:t>Regeste</w:t>
      </w:r>
    </w:p>
    <w:p>
      <w:r>
        <w:t>FAUTE, CRÉANCE, PRÉTENTION DE DROIT PUBLIC | 47 CP, 71 al. 1 CP, 71 al. 2 CP, 411 let. g CPP, 411 let. h CPP, 411 let. i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Le recourant se prévaut des moyens de nullité de l'art. 411 let. g, h et i CPP. a) L'art. 411 let. g CPP sanctionne la violation d'une règle essentielle de la procédure autre que celles visées aux lettres a à f de cette même norme légale, pour autant, toutefois, que cette violation ait été de nature à influer sur la décision attaquée. b)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c)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d )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3.a) Le recourant fait d'abord valoir que le jugement est contradictoire au sens déduit de l'art. 411 let. h CPP respectivement douteux selon l'art. 411 let. i CPP quand il retient, d'une part, qu'il était venu en Suisse à la seule fin de se livrer au trafic de cocaïne et d'en retirer un revenu régulier et quand il retient, d'autre part, qu'il était déjà entré dans notre pays en 2001 pour y demander l'asile, qui lui avait été refusé en 2003. Dans la mesure où l'état de fait retient que le trafic de cocaïne imputé au recourant n'avait débuté qu'au mois de septembre 2005, l'état de fait du jugement serait contradictoire, douteux et consacrerait une autre violation essentielle de la procédure en laissant penser que le recourant s'était livré à un trafic de cocaïne dès sa venue en Suisse, soit en 2001. b) Il n'y a pas de contradiction dans l'état de fait au sens de l'art. 411 let. h CPP. En effet, la chronologie des événements est précisément décrite et la période initiale, débutant par la première entrée du recourant en Suisse aux fins d'y requérir l'asile, est nettement dissocié de son retour ultérieur, moment à partir duquel il s'était livré au trafic de cocaïne. Aucune infraction constituant l'objet de la présente procédure ne se rattache à cette première période. c) A l'aune de l'art. 411 let. i CPP, il n'y a pas davantage de doute. En effet, il n'y a pas d'arbitraire à retenir que le recourant n'était, après la non-entrée en matière frappant sa première demande d'asile, venu en Suisse (et y avait résidé) qu'à la seule fin de se livrer au trafic de cocaïne et d'en retirer un revenu régulier, alors même qu'il avait, durant certaines périodes, quitté notre pays pour vivre en France. Le jugement mentionne expressément les lieux de séjour alternatifs de l'accusé dans les deux Etats en question et les activités de l'intéressé. Il doit en être déduit que le recourant ne s'est pas contenté d'entrer en Suisse dans le dessein relevé par les premiers juges, mais a en outre séjourné, soit a vécu dans notre pays pour s'y livrer au trafic. Du reste, les infractions à la législation sur les étrangers pour lesquels il a été condamné répriment aussi bien l'entrée que le séjour illicite. Par identité de motifs, l'état de fait retenu ne viole pas la présomption d'innocence. Par surabondance, même s'il devait être admis que l'état de fait est insuffisant, respectivement présente des lacunes ou des contradictions, aucun des vices éventuels ne pourrait porter sur des points de nature à influer sur la décision attaquée. En effet, le recourant prétend, sans rien démontrer, que les premiers juges ont assis l'un des fondements de la sanction sur le fait qu'il n'était "venu" en Suisse qu'à seule fin de se livrer au trafic de cocaïne et d'en retirer en revenu régulier. Rien ne permet de l'admettre. Le plaideur prête à la phrase une portée qu'elle n'a pas au regard de son contexte. Par "venu en Suisse", les premiers juges n'ont rien voulu dire d'autre que le recourant avait "séjourné" en Suisse dans le seul but de se livrer à un trafic de cocaïne. Il est à cet égard constant que le recourant n'a jamais exercé d'activité lucrative légale dans notre pays. Quant au revenu tiré du trafic, les premiers juges ont retenu, à charge, que le recourant avait vendu de la drogue en cherchant à s'enrichir facilement alors même que, dès lors qu'il avait travaillé quelque temps en France, il aurait pu s'intégrer dans ce pays. Le fait déterminant pour l'appréciation de la culpabilité n'est donc pas, en lui-même, que le recourant soit entré en Suisse. C'est ainsi à juste titre que les premiers juges ont retenu que l'accusé n'avait été lié à la Suisse que par son trafic de drogue, qui constituait son unique source de revenu dans notre pays. d) Toujours au bénéfice de l'art. 411 let. h CPP, le recourant fait valoir que le jugement est entaché d'une contradiction en ce qu'il retient qu'il avait fait usage du passeport français falsifié notamment pour tenter de trouver du travail, d'une part, et qu'il avait acquis ce titre pour se procurer un emploi, d'autre part. Ce moyen s'épuise en une vaine critique sémantique. Il est en effet constant, comme déjà relevé, que le recourant n'avait jamais occupé d'emploi en Suisse, ce qui n'exclut en rien l'acquisition d'un titre falsifié dans le dessein de se procurer un tel emploi. Ce comportement aurait du reste constitué une nouvelle infraction si l'accusé était parvenu à ses fins. Or, il ne lui a jamais été reproché d'avoir travaillé illicitement dans notre pays. Le recours en nullité doit donc être rejeté.</w:t>
      </w:r>
    </w:p>
    <w:p>
      <w:r>
        <w:rPr>
          <w:b/>
        </w:rPr>
        <w:t>E. 4</w:t>
      </w:r>
    </w:p>
    <w:p>
      <w:r>
        <w:t>En conclusion, le recours doit être rejeté en application de l'art. 431 al. 2 CPP et le jugement confirmé. Vu l'issue du recours, les frais de deuxième instance, y compris l'indemnité allouée à son défenseur d'office, par 968 fr. 40, sont mis à la charge du recourant (art. 450 al. 1 CPP). Le remboursement à l'Etat de l'indemnité due au défenseur d'office sera exigible pour autant que la situation économique du recourant se soit améliorée (ATF 135 I 91 , c. 2.4, spéc. 2.4.3 ).</w:t>
      </w:r>
    </w:p>
    <w:p>
      <w:r>
        <w:rPr>
          <w:b/>
        </w:rPr>
        <w:t>E. 4.1</w:t>
      </w:r>
    </w:p>
    <w:p>
      <w:r>
        <w:t>En réforme, le recourant invoque d'abord une fausse application de l'art. 47 CP. Soutenant que la sanction qui lui a été infligée est arbitrairement sévère, il reproche aux premiers juges d'avoir prononcé une peine dont la quotité, selon la pratique des tribunaux de notre canton, sanctionne d'après lui d'ordinaire un trafic portant sur une quantité de drogue supérieure; il leur fait en outre grief de n'avoir notamment pas tenu compte de son absence d'antécédents.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 c )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3e éd., Lausanne 2007, n. 1.29 ad art. 47 CP et les réf. cit.). La quantité de drogue est un élément d'appréciation important mais toutefois pas prépondérant (TF 6B_380/2008,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