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75 vom 10. November 2009</w:t>
      </w:r>
    </w:p>
    <w:p>
      <w:r>
        <w:t>VD Tribunal cantonal, 2009-11-10, FR</w:t>
      </w:r>
    </w:p>
    <w:p>
      <w:r>
        <w:rPr>
          <w:b/>
        </w:rPr>
        <w:t xml:space="preserve">Quelle: </w:t>
      </w:r>
      <w:r>
        <w:t>https://mcp.opencaselaw.ch/entscheid/vd_findinfo_HC___2010___75</w:t>
      </w:r>
    </w:p>
    <w:p>
      <w:r>
        <w:t>FR: VD_FINDINFO HC / 2010 / 75 du 10 novembre 2009</w:t>
      </w:r>
    </w:p>
    <w:p>
      <w:r>
        <w:t>IT: VD_FINDINFO HC / 2010 / 75 del 10 novembre 2009</w:t>
      </w:r>
    </w:p>
    <w:p>
      <w:pPr>
        <w:pStyle w:val="Heading2"/>
      </w:pPr>
      <w:r>
        <w:t>Regeste</w:t>
      </w:r>
    </w:p>
    <w:p>
      <w:r>
        <w:t>CONSTATATION DES FAITS | 411 let. h CPP, 411 let. i CPP, 411 let. j CPP, 413 al. 1 CPP</w:t>
      </w:r>
    </w:p>
    <w:p>
      <w:pPr>
        <w:pStyle w:val="Heading2"/>
      </w:pPr>
      <w:r>
        <w:t>Erwägungen</w:t>
      </w:r>
    </w:p>
    <w:p>
      <w:r>
        <w:rPr>
          <w:b/>
        </w:rPr>
        <w:t>E. 1</w:t>
      </w:r>
    </w:p>
    <w:p>
      <w:r>
        <w:t>Nonobstant qu'il comporte des moyens qui relèvent à certains égards de la réforme, le recours n'est qu'en nullité d'après ses conclusions, qui lient la cour de céans.</w:t>
      </w:r>
    </w:p>
    <w:p>
      <w:r>
        <w:rPr>
          <w:b/>
        </w:rPr>
        <w:t>E. 2</w:t>
      </w:r>
    </w:p>
    <w:p>
      <w:r>
        <w:t>Aux termes de l'art. 413 al. 1 CPP, le plaignant peut recourir en nullité au sujet de l'action pénale dans les cas visés à l'art. 411 let. a et d à j CPP, lorsqu'il s'agit d'une infraction ne se poursuivant que sur plainte. En l'espèce, les conclusions sont fondées sur l'art. 411 let. h, i et j CPP. Le recours est donc recevable. 3.a)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Bovay/Dupuis/Monnier/Moreillon/Piguet, Procédure pénale vaudoise, Code annoté, 3e éd., Lausanne 2008,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Aperçu de jurisprudence sur les voies de recours à la Cour de cassation pénale du Tribunal cantonal vaudois, in JT 1989 III 98 ss,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Le recours à la Cour de cassation pénale du Tribunal cantonal en procédure vaudoise, in JT 1996 III 66 ss,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(ibid.).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c)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Besse-Matile/Abravanel, op. cit., p. 104 et les réf. cit.). De surcroît, l 'arbitraire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d) Pour sa part, l'art. 411 let. j CPP sanctionne le défaut de motivation du jugement. Le juge est tenu d'indiquer, au moins brièvement, les motifs de sa conviction sur les faits importants pour le jugement de la cause (art. 373 al. 2 let. a CPP). L'exigence de motivation est garante de transparence dans la prise de décision. Elle doit notamment permettre aux parties de se rendre compte de la portée d'une décision et de l'attaquer en connaissance de cause. L'obligation pour le juge de motiver sa décision est une règle fondamentale d'ordre public qui constitue l'une des règles essentielles pour le justiciable et qui découle du droit d'être entendu. La violation de cette obligation constitue une cause de nullité, à moins que les motifs de la conviction du tribunal ne ressortent clairement du dossier (art. 411 let. j CPP). Le Tribunal fédéral a précisé que pour satisfaire aux exigences de motivation, il suffisait que le juge mentionne, au moins dans leurs grandes lignes, les raisons qui l'ont poussé vers tel ou tel résultat et sur lesquelles il a fondé sa décision. Celle-ci doit ainsi indiquer les points essentiels du raisonnement tenu par le juge du fait (cf. not. ATF 123 I 31, c. 2c, JT 1999 IV 22; ATF 122 IV 8, c. 2c). Ces principes ont été confirmés par un arrêt relativement récent (ATF 133 IV 293, spéc. c. 3.4). Lorsqu'un état de fait est lacunaire et qu'ainsi l'application de la loi ne peut pas être contrôlée, la décision attaquée doit être annulée et la cause renvoyée à l'autorité précédente afin que l'état de fait soit complété et qu'un nouveau jugement soit prononcé (ibid.). e)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4.a) Excipant d'une lacune dans l'état de fait au sens de l'art. 411 let. h CPP, le recourant fait d'abord grief au premier juge d'avoir passé sous silence des déclarations qu'il aurait faites à l'audience. Il a toutefois omis de requérir la verbalisation des propos dont il se réclame. Faute pour lui de l'avoir fait et l'instruction étant orale (cf. le c. 3e ci-dessus), il ne saurait faire grief au tribunal de police de ne pas les avoir retranscrits. Ce moyen doit dès lors être rejeté. b) Excipant d'un défaut de motivation au sens de l'art. 411 let. j CPP, soit d'une violation de l'art. 373 let. a CPP, le recourant fait grief au premier juge de ne pas avoir étayé les raisons pour lesquelles il avait ajouté foi à la version des faits donnée par l'accusé, laquelle est confortée par la déclaration écrite de l'ancien conseil de celui-ci. Il ne saurait y avoir un défaut de motivation ouvrant la voie à un recours en nullité pour le seul motif que le premier juge a retenu une preuve littérale infirmant la version des faits d'une partie, que cette pièce soit ou non étayée par les propos de l'autre partie. Certes, il pourrait en aller différemment lorsqu'il s'agit de confronter deux pièces aux teneurs opposées, mais ce cas de figure n'est pas celui de la présente espèce. c) Se réclamant de l'art. 411 let. i CPP, le recourant fait ensuite grief au premier juge d'arbitraire dans l'appréciation des preuves pour s'être fondé sur la déclaration écrite de l'ancien conseil de l'accusé, déjà contestée à l'aune de l'art. 411 let. j CPP. L'art. 411 let. i CPP sanctionne l'arbitraire dans l'appréciation des faits. Cette notion est définie très restrictivement (cf. le c. 3c ci-dessus). Aucune norme légale n'interdit au juge d'ajouter foi à une déclaration écrite. Certes, comme le plaide le recourant, il ne peut être exclu que l'ancien conseil d'une partie soit tenu d'agir dans l'intérêt de son ex-client même après la fin du mandat. Cette appréciation ne saurait cependant infirmer celle du premier juge. Il ne saurait en effet suffire, sous l'angle de l'arbitraire, qu'une autre solution eût été possible ou même souhaitable (cf. le c. 3c ci-dessus). Il suffit ainsi de relever que la version des faits retenue par le tribunal de police soit confortée par la pièce à laquelle se réfère le jugement et qu'elle n'est nullement invraisemblable. L'appréciation des faits n'est donc pas entachée d'arbitraire. d) Excipant de l'art. 411 let. h CPP, le recourant fait enfin valoir que l'état de fait est insuffisant dans la mesure où il ne tranche pas entre sa propre version des faits et celle de l'accusé. Il est exact que le jugement mentionne les propos imputés à l'accusé selon l'une et l'autre desdites versions sans trancher expressément entre elles. Cela étant, il n'en reste pas moins que le tribunal de police a par ailleurs fait un exposé complet des faits tenus pour déterminants, considérant ainsi que l'issue de la cause n'aurait pas été différente s'il avait ajouté foi à la version des faits du plaignant au détriment de celle de l'accusé. A juste titre. En effet, les deux épithètes incriminées adressées au plaignant figurent dans l'une comme dans l'autre des versions, dans un contexte identique même si exprimées dans une phraséologie différente. Or, en droit matériel, l'appréciation du caractère injurieux de chacun des propos ici en cause ne saurait dépendre de l'articulation sémantique dans laquelle ils figurent. Cette nuance n'est ainsi pas de nature à entraîner l'annulation du jugement. D'ailleurs, l'interprétation de l'épithète tenue pour injurieuse par le premier juge, qui a mené à la déclaration de culpabilité, est conforme aux moyens du plaignant. En effet, le tribunal de police a considéré qu'au sens figuré, qui avait manifestement été celui dont l'accusé avait usé, le mot "lopette" signifie lâche, déloyal, voire veule, ce qui constitue un jugement de valeur attentatoire à l'honneur qui contient une connotation injurieuse. Or, cette connotation n'était pas aussi marquée sémantiquement dans la version des faits présentée par le plaignant. Au surplus, l'accusé a reconnu les faits. Partant, même à supposer que l'état de fait ait été insuffisant, il ne saurait s'agir d'un vice portant sur des points de nature à influer sur la décision attaquée. Ce moyen doit donc être rejeté à l'instar des précédents.</w:t>
      </w:r>
    </w:p>
    <w:p>
      <w:r>
        <w:rPr>
          <w:b/>
        </w:rPr>
        <w:t>E. 4</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