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719 vom 17. Dezember 2010</w:t>
      </w:r>
    </w:p>
    <w:p>
      <w:r>
        <w:t>VD Tribunal cantonal, 2010-12-17, FR</w:t>
      </w:r>
    </w:p>
    <w:p>
      <w:r>
        <w:rPr>
          <w:b/>
        </w:rPr>
        <w:t xml:space="preserve">Quelle: </w:t>
      </w:r>
      <w:r>
        <w:t>https://mcp.opencaselaw.ch/entscheid/vd_findinfo_HC___2010___719</w:t>
      </w:r>
    </w:p>
    <w:p>
      <w:r>
        <w:t>FR: VD_FINDINFO HC / 2010 / 719 du 17 décembre 2010</w:t>
      </w:r>
    </w:p>
    <w:p>
      <w:r>
        <w:t>IT: VD_FINDINFO HC / 2010 / 719 del 17 dicembre 2010</w:t>
      </w:r>
    </w:p>
    <w:p>
      <w:pPr>
        <w:pStyle w:val="Heading2"/>
      </w:pPr>
      <w:r>
        <w:t>Regeste</w:t>
      </w:r>
    </w:p>
    <w:p>
      <w:r>
        <w:t>OBLIGATION D'ENTRETIEN, CONJOINT | 125 CC</w:t>
      </w:r>
    </w:p>
    <w:p>
      <w:pPr>
        <w:pStyle w:val="Heading2"/>
      </w:pPr>
      <w:r>
        <w:t>Erwägungen</w:t>
      </w:r>
    </w:p>
    <w:p>
      <w:r>
        <w:rPr>
          <w:b/>
        </w:rPr>
        <w:t>E. 1</w:t>
      </w:r>
    </w:p>
    <w:p>
      <w:r>
        <w:t>Les voies du recours en nullité (art. 444 et 445 CPC-VD [Code de procédure civile du canton de Vaud du 14 décembre 1966; RSV 270.11]) et du recours en réforme (art. 451 ch. 2 CPC-VD) sont ouvertes contre le jugement principal rendu par un tribunal d'arrondissement statuant en procédure accélérée sur une action en divorce (art. 371 ss CPC-VD). Déposé en temps utile, le recours tend exclusivement à la réforme.</w:t>
      </w:r>
    </w:p>
    <w:p>
      <w:r>
        <w:rPr>
          <w:b/>
        </w:rPr>
        <w:t>E. 2</w:t>
      </w:r>
    </w:p>
    <w:p>
      <w:r>
        <w:t>Saisie d'un recours en réforme contre un jugement principal rendu par un tribunal d'arrondissement statuant en procédure accélérée, la Chambre des recours revoit librement la cause en fait et en droit (art. 452 al. 2 CPC-VD). Elle développe ainsi son raisonnement juridique après avoir vérifié la conformité de l'état de fait du jugement aux preuves figurant au dossier et l'avoir, le cas échéant, corrigé ou complété au moyen de celles-ci (JT 2003 III 3). Le droit fédéral ne prescrit pas la maxime d'office en ce qui concerne l'entretien entre époux (TF 5C.282/2002 du 27 mars 2003, JT 2003 I 193 c. 9.1), mais bien la maxime des débats (ATF 129 III 481 c. 3.3, JT 2003 I 760, La Pratique du droit de la famille [FamPra.ch] 2003, p. 147; ATF 128 III 411 c. 3.2.2). Il en découle notamment que la Chambre des recours est liée par les conclusions des parties (art. 461 al. 1 let. b et al. 2 CPC-VD) qui ne doivent être ni nouvelles, ni plus amples que celles prises en première instance (art. 452 al. 1 CPC-VD). Toutefois, dans les procès en divorce, l'art. 138 CC ([Code civil du 10 décembre 1907, RS 210] repris à l'art. 374c CPC-VD) déroge aux règles de la procédure cantonale (art. 452 al. 1 CPC-VD; Poudret/Haldy/Tappy, Procédure civile vaudoise, 3 ème éd., Lausanne 2002, note ad art. 374c CPC-VD, p. 577, et n. 6 ad art. 452 CPC-VD,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SJ 2005 I 442; ATF 131 III 91 c. 5.2.2). En l'espèce, l'état de fait du jugement est conforme aux pièces du dossier et aux autres preuves administrées. Il a été complété sur la base du dossier.</w:t>
      </w:r>
    </w:p>
    <w:p>
      <w:r>
        <w:rPr>
          <w:b/>
        </w:rPr>
        <w:t>E. 3</w:t>
      </w:r>
    </w:p>
    <w:p>
      <w:r>
        <w:t>a) Seuls demeurent litigieux dans cette procédure de divorce, le principe et le montant d'une contribution d'entretien due par l'intimé en faveur de la recourante. Celle-ci soutient que, contrairement à ce qu'ont considéré les premiers juges, il est établi qu'elle est durablement atteinte dans sa santé et n'est pas en mesure d'assumer son entretien par le produit de son travail.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est due si le mariage a concrètement influencé la situation financière de l'époux crédirentier ("lebensprägend").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c) En l'espèce, force est de constater qu'aux dires de son médecin traitant, qui la suit depuis plusieurs années, la recourante est atteinte dans sa santé (diabète, migraines, dépression) et ne dispose pas d'une capacité de travail entière. A l'âge de 57 ans, ses perspectives de trouver un emploi sont réduites, ce d'autant qu'elle ne dispose d'aucune formation. Elle bénéficie d'ailleurs du revenu d'insertion depuis 2009, alors même que le fait qu'elle ait travaillé en qualité de nettoyeuse et qu'elle ait effectué un stage d'aide soignante dans un EMS démontre qu'elle ne craint pas les emplois pénibles. Ce sont des problèmes de santé qui sont venus l'entraver dans sa démarche de reconversion professionnelle, qui apparaît incertaine à ce jour, aux dires de l'Office régional de placement. L'on ne peut ainsi faire le reproche à la recourante de n'avoir pas tenté une reconversion professionnelle et l'on ne saurait retenir, à titre de capacité de gain hypothétique, le revenu de 2'382 fr. 50 réalisé en 2007, comme dans le jugement attaqué. En conséquence, la recourante peut prétendre à une contribution d'entretien au sens de l'art. 125 al. 1 CC dont il convient de déterminer la quotité. Le recours doit donc être admis sur ce point.</w:t>
      </w:r>
    </w:p>
    <w:p>
      <w:r>
        <w:rPr>
          <w:b/>
        </w:rPr>
        <w:t>E. 4</w:t>
      </w:r>
    </w:p>
    <w:p>
      <w:r>
        <w:t>a) Lorsqu'il s'agit de fixer la contribution à l'entretien du conjoint dont la situation financière a été concrètement et durablement influencée par le mariage, l'art. 125 al. 1 CC prescrit de procéder en trois étapes (TF 5A_397/2009 du 30 septembre 2009 c. 4.1.1; TF 5A_529/2007 du 28 avril 2008 c. 2.2;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Le standard de vie qui prévalait pendant le mariage constitue également la limite supérieure de l'entretien convenable.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professionnelles (ATF 132 III 593 c. 7 p. 595 ss; ATF 129 III 7 c. 3.1 p. 8). Selon la jurisprudence, quand le mariage a concrètement influencé la situation financière d'un époux, l'art. 125 CC lui donne droit au maintien du niveau de vie mené durant la vie commune (ATF 134 III 145 c. 4 p. 146), qui constitue la limite supérieure de l'entretien convenable (TF 5A_214/2009 du 27 juillet 2009 c. 3.2, reproduit in FamPra 2009 p. 1051).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b) Les premiers juges ont retenu qu'un montant mensuel de 2'125 fr. permettrait à la recourante de maintenir son train de vie et ne lui ont dès lors pas alloué de pension. Leurs calculs méconnaissent toutefois le fait que, désormais, chaque époux a des charges propres, dont le montant total est nécessairement plus élevé que la moitié des charges globales durant la vie commune, sous déduction de l'entretien de l'enfant. La décision de mesures provisionnelles du 11 février 2008 a dûment tenu compte de cet état de fait, puisqu'en appliquant la méthode du minimum vital avec répartition des excédents, une contribution mensuelle d'entretien de 1'700 fr. a été allouée en faveur de la recourante et de son enfant. c) Le mariage a duré une quinzaine d'années et la répartition des tâches entre époux a été traditionnelle. Les avoirs de prévoyance professionnelle ont été égalisés et les époux n'ont que peu de fortune. Si on ne peut pas exclure l'éventualité que la recourante retrouve un emploi, cela est peu probable, alors qu'elle devra continuer à assumer une part de l'entretien de sa fille étudiante, tandis que l'intimé fait ménage commun avec son amie dans le logement dont celle-ci est propriétaire. Les parties n'ont pas amené d'autres éléments sur leurs charges que ceux qui résultent de l'ordonnance de mesures provisionnelles du 11 février 2008, à laquelle il y a lieu de se référer dans la mesure où aucune des parties n'a prétendu que ces montants ne seraient plus d'actualité. Il n'y a pas lieu de tenir compte des charges d'impôt compte tenu de la situation financière serrée des parties. Dès lors, le minimum vital de la recourante – étant entendu qu'il n'y a pas lieu de tenir compte des charges pour l'enfant C.D.________ –, s'établit comme il suit : - montant de base : 1'200 fr. - loyer charges comprises : 739 fr. - assurance-maladie : 431 fr. Total :                2'370 fr. Le minimum vital de l'intimé s'établit quant à lui de la manière suivante : - montant de base pour adulte en couple : 850 fr. - loyer (moitié) : 850 fr. - assurance-maladie :              218 fr. - frais de transport :               300 fr. - contribution pour l'entretien de l'enfant C.D.________ : 500 fr. Total 2'718 fr. Le minimum vital de base doit être augmenté de 20 % (TF 5C 237/2006 du 10 janvier 2007 c. 2.4.1), soit de 170 francs. Le minimum vital élargi de l'intimé est donc de 2'888 francs. Compte tenu d'un gain mensuel de 4'142 fr., il subsiste une marge de 1'254 francs. La recourante réclame une pension mensuelle de 1'000 fr. et, en vertu de la maxime des débats, il n'y a pas lieu de lui allouer plus même si son déficit est supérieur à ce montant (art. 3 CPC-VD). Le minimum vital de l'intimé permet de lui servir une telle pension et d'assurer à ce dernier une marge de 245 francs. Une contribution d'entretien mensuelle de 1'000 fr. doit donc être allouée à la recourante. Celle-ci sera due jusqu'à l'âge de sa retraite, soit jusqu'en juillet 2016. Cela étant, la question de savoir si un revenu hypothétique peut être imputé à la recourante n'est pas déterminante. En effet, un tel gain ne saurait, au vu de la situation de la recourante, être supérieur à 1'500 fr. de sorte que son minimum vital demeurerait non couvert. Le recours doit donc être admis sur ce point.</w:t>
      </w:r>
    </w:p>
    <w:p>
      <w:r>
        <w:rPr>
          <w:b/>
        </w:rPr>
        <w:t>E. 5</w:t>
      </w:r>
    </w:p>
    <w:p>
      <w:r>
        <w:t>En conclusion, le recours de A.D.________ doit être admis et le jugement réformé en ce sens qu'une contribution d'entretien mensuelle de 1'000 fr. lui est allouée jusqu'à l'âge de la retraite. Les frais de deuxième instance de la recourante sont arrêtés à 300 francs (art. 233 al. 1 du tarif du 4 décembre 1984 des frais judiciaires en matière civile; RSV 270.11.5). Le recourant versera à la recourante la somme de 2'100 fr. à titre de dépens de deuxième instance (art 92 CPC-VD). Par ces motifs, la Chambre des recours du Tribunal cantonal, statuant à huis clos, prononce : I. Le recours est admis. II.              Le jugement est réformé au chiffre VII de son dispositif et est complété par un chiffre Ibis comme il suit : Ibis. dit que B.D.________ doit contribuer à l'entretien de A.D.________, par le versement d'une pension mensuelle de 1'000 fr. (mille francs), payable d'avance le premier de chaque mois en mains de celle-ci dès jugement définitif et exécutoire, jusqu'au mois de juillet 2016 compris. VII. dit que le demandeur B.D.________ doit verser à la défenderesse A.D.________,  la somme de 3'600 francs (trois mille six cents francs) à titre de dépens. Le jugement est confirmé pour le surplus. III.              Les frais de deuxième instance de la recourante sont arrêtés à 300 fr. (trois cents francs). IV.              L'intimé B.D.________ doit verser à la recourante A.D.________, la somme de 2'100 fr. (deux mille cent francs) à titre de dépens de deuxième instance. 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Michel Dupuis (pour A.D.________), ‑ Me Filippo Ryter (pour B.D.________).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