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718 vom 22. November 2010</w:t>
      </w:r>
    </w:p>
    <w:p>
      <w:r>
        <w:t>VD Tribunal cantonal, 2010-11-22, FR</w:t>
      </w:r>
    </w:p>
    <w:p>
      <w:r>
        <w:rPr>
          <w:b/>
        </w:rPr>
        <w:t xml:space="preserve">Quelle: </w:t>
      </w:r>
      <w:r>
        <w:t>https://mcp.opencaselaw.ch/entscheid/vd_findinfo_HC___2010___718</w:t>
      </w:r>
    </w:p>
    <w:p>
      <w:r>
        <w:t>FR: VD_FINDINFO HC / 2010 / 718 du 22 novembre 2010</w:t>
      </w:r>
    </w:p>
    <w:p>
      <w:r>
        <w:t>IT: VD_FINDINFO HC / 2010 / 718 del 22 novembre 2010</w:t>
      </w:r>
    </w:p>
    <w:p>
      <w:pPr>
        <w:pStyle w:val="Heading2"/>
      </w:pPr>
      <w:r>
        <w:t>Regeste</w:t>
      </w:r>
    </w:p>
    <w:p>
      <w:r>
        <w:t>CONTRAT DE TRAVAIL, RÉSILIATION | 336 al. 1 let. a CO, 336 al. 1 let. d CO, 452 al. 1ter CPC, 452 al. 2 CPC, 452 CPC, 46 al. 1 LJT, 46 al. 2 LJT, 46 LJT</w:t>
      </w:r>
    </w:p>
    <w:p>
      <w:pPr>
        <w:pStyle w:val="Heading2"/>
      </w:pPr>
      <w:r>
        <w:t>Erwägungen</w:t>
      </w:r>
    </w:p>
    <w:p>
      <w:r>
        <w:rPr>
          <w:b/>
        </w:rPr>
        <w:t>E. 1</w:t>
      </w:r>
    </w:p>
    <w:p>
      <w:r>
        <w:t>a) Le litige qui divise les parties relève du contrat de travail. Il est régi par l'art. 343 CO et la LJT (loi du 17 mai 1999 sur la juridiction du travail; RSV 173.61). L'art. 46 al. 1 LJT ouvre la voie des recours en nullité (art. 444 et 445 CPC-VD) et en réforme (art. 451 ch. 2 CPC-VD)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b) La recourante conclut subsidiairement au renvoi de la cause au tribunal de prud'hommes. Pour autant que cette conclusion puisse être tenue pour une conclusion en nullité, elle serait irrecevable. En effet, la recourante ne fait valoir aucun moyen spécifique, alors que la cour de céans n'examine que les moyens de nullité dûment développés (art. 465 al. 3 CPC-VD, par renvoi de l'art. 46 al. 2 LJT; Poudret/Haldy/Tappy, Procédure civile vaudoise, 3 ème éd., Lausanne 2002, n. 2 ad art. 465 CPC-VD, p. 722). c) La recourante n'invoque aucun moyen à l'appui de son recours en réforme. On ne saurait toutefois, par une application stricte de l'art. 48 LJT, considérer cette lacune comme affectant la recevabilité de dit recours. En effet, comme pour les recours ordinaires, la cour de céans doit juger à nouveau (art. 456 al. 1 CPC-VD) en appliquant d'office le droit (Poudret/Haldy/Tappy, op. cit., n. 4 ad art. 465 CPC-VD, p. 723). Au surplus, le principe de simplicité de la procédure posé à l'art. 343 al. 2 CO impose de ne pas être plus exigeant, en ce qui concerne les règles de forme, en matière de droit du travail que dans les autres domaines du droit (Ducret/Osojnak, in Procédures spéciales vaudoises, Lausanne 2008, n. 5 ad art. 48 LJT, p. 324 et les arrêts cités). Interjeté en temps utile, le recours en réforme est dès lors recevable.</w:t>
      </w:r>
    </w:p>
    <w:p>
      <w:r>
        <w:rPr>
          <w:b/>
        </w:rPr>
        <w:t>E. 2</w:t>
      </w:r>
    </w:p>
    <w:p>
      <w:r>
        <w:t>a) 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b) En l'espèce, l'état de fait du jugement est conforme aux pièces du dossier, sous réserve des rectifications suivantes: - Le premier certificat médical a été établi le 16 janvier 2009 et non pas le 21 février 2009, cette dernière date étant le jour indiqué pour la reprise de l'activité à 100% (cf. jgt, p. 12, et pièce n o</w:t>
      </w:r>
    </w:p>
    <w:p>
      <w:r>
        <w:rPr>
          <w:b/>
        </w:rPr>
        <w:t>E. 6</w:t>
      </w:r>
    </w:p>
    <w:p>
      <w:r>
        <w:t>du bordereau de la demanderesse); - Le second certificat médical du 28 mai 2009 mentionne une incapacité de travail à 100% du 22 février 2009 au 30 avril 2009 et non pas jusqu'au 30 avril 2010 (cf. jgt, p. 13, et pièce n o</w:t>
      </w:r>
    </w:p>
    <w:p>
      <w:r>
        <w:rPr>
          <w:b/>
        </w:rPr>
        <w:t>E. 7</w:t>
      </w:r>
    </w:p>
    <w:p>
      <w:r>
        <w:t>du bordereau de la demanderesse); - L'audience de conciliation ne s'est pas tenue le 26 janvier 2010, mais le 25 janvier 2010 (cf. jgt, p. 15, et procès-verbal de dite audience). Il convient en outre de compléter l'état de fait sur les points suivants: - Le 12 février 2010, l'intimée a communiqué sa liste de témoins, savoir T.________ et P.________, respectivement cheffe technicienne et technicienne en radiologie médicale auprès d'Y.________ SA; - La recourante a, par courrier du 15 février 2010, requis l'audition de X.________ et du Dr W.________. Il n'y a pas lieu de procéder à une instruction complémentaire, la cour de céans étant à même de statuer en réforme. 3. a) Examinant les prétentions de la recourante sous l’angle du licenciement abusif, les premiers juges ont considéré que le congé qui lui avait été signifié par l'intimée ne remplissait les conditions ni de la lettre a ni de la lettre d de l'art. 336 al. 1 CO. Ils se sont notamment fondés sur les témoignages recueillis, dont deux avaient été requis par la recourante et dont ni les uns ni les autres ne leur ont paru manquer d’objectivité. Concernant plus particulièrement les déclarations des collaboratrices technicienne et cheffe technicienne en radiologie médicale de l'intimée, celles-ci les ont convaincus que la recourante n’avait pas été licenciée en raison de sa maladie ou du cours de dépistage par mammographie pour lequel un congé lui avait été refusé, mais que la véritable cause de la résiliation du contrat résidait dans la suppression de son poste de travail en raison de la restructuration de l’institut exploité par l'intimée et dans le besoin de l’employeur d’être entouré de personnel polyvalent capable d’effectuer les examens spéciaux, qualité que la recourante ne possédait manifestement pas (cf. jgt, pp. 22-25). b) Ces considérations ne prêtent pas le flanc à la critique. En particulier, la recourante n’est pas parvenue, comme elle en avait la charge, à rapporter la preuve – fût-ce par indices – de ses allégations, tandis que l'intimée a, pour sa part, démontré à satisfaction de droit que les motifs qui l’ont conduite à se séparer de son employée étaient objectivement fondés et ne tombaient pas sous le coup de la réglementation relative à la résiliation abusive. La motivation des premiers juges, complète et convaincante, peut être ici confirmée (art. 471 al. 3 CPC-VD). Au surplus, X.________, témoin dont l'audition a été requise par la recourante, a indiqué qu'au moment de son départ de l'institut à la fin juin 2007, un IRM était en train d'être installé et que diverses modifications de structure étaient en cours (cf. jgt, p. 17), élément qui confirme la réalité de la restructuration de l'intimée. Il s’ensuit que c’est à juste titre que les prétentions de la recourante ont été rejetées et le recours doit l'être également. 4. En conclusion, le recours doit être rejeté, en application de l'art. 465 al. 1 CPC-VD,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CPC-VD, prononce : I. Le recours est rejeté. II. Le jugement est confirmé. III. L'arrêt est rendu sans frais. IV. L'arrêt motivé est exécutoire. Le président :               La greffière : Du 22 novembre 2010 Le dispositif de l'arrêt qui précède est communiqué par écrit aux intéressés. La greffière : Du 14 mars 2011 L'arrêt qui précède, dont la rédaction a été approuvée à huis clos, est notifié en expédition complète, par l'envoi de photocopies, à : ‑ Mme L.________, ‑ Y.________ SA. La Chambre des recours considère que la valeur litigieuse est de 22'848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