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716 vom 27. Oktober 2010</w:t>
      </w:r>
    </w:p>
    <w:p>
      <w:r>
        <w:t>VD Tribunal cantonal, 2010-10-27, FR</w:t>
      </w:r>
    </w:p>
    <w:p>
      <w:r>
        <w:rPr>
          <w:b/>
        </w:rPr>
        <w:t xml:space="preserve">Quelle: </w:t>
      </w:r>
      <w:r>
        <w:t>https://mcp.opencaselaw.ch/entscheid/vd_findinfo_HC___2010___716</w:t>
      </w:r>
    </w:p>
    <w:p>
      <w:r>
        <w:t>FR: VD_FINDINFO HC / 2010 / 716 du 27 octobre 2010</w:t>
      </w:r>
    </w:p>
    <w:p>
      <w:r>
        <w:t>IT: VD_FINDINFO HC / 2010 / 716 del 27 ottobre 2010</w:t>
      </w:r>
    </w:p>
    <w:p>
      <w:pPr>
        <w:pStyle w:val="Heading2"/>
      </w:pPr>
      <w:r>
        <w:t>Regeste</w:t>
      </w:r>
    </w:p>
    <w:p>
      <w:r>
        <w:t>OBLIGATION D'ENTRETIEN, REVENU HYPOTHÉTIQUE | 138 al. 1 CC, 286 al. 2 CC, 465 al. 1 CPC</w:t>
      </w:r>
    </w:p>
    <w:p>
      <w:pPr>
        <w:pStyle w:val="Heading2"/>
      </w:pPr>
      <w:r>
        <w:t>Erwägungen</w:t>
      </w:r>
    </w:p>
    <w:p>
      <w:r>
        <w:rPr>
          <w:b/>
        </w:rPr>
        <w:t>E. 1</w:t>
      </w:r>
    </w:p>
    <w:p>
      <w:r>
        <w:t>Le recours, dirigé contre un jugement de modification de jugement de divorce rendu par un président de tribunal d'arrondissement statuant en la forme sommaire, est recevable tant en nullité (art. 444 et 445 CPC-VD, Code de procédure civile du 14 décembre 1966) qu'en réforme (art. 451 ch. 3 CPC-VD). Déposé en temps utile, le recours est recevable.</w:t>
      </w:r>
    </w:p>
    <w:p>
      <w:r>
        <w:rPr>
          <w:b/>
        </w:rPr>
        <w:t>E. 2</w:t>
      </w:r>
    </w:p>
    <w:p>
      <w:r>
        <w:t>En nullité, la recourante invoque une appréciation arbitraire des preuves. Compte tenu du caractère subsidiaire du recours en nullité et du large pouvoir d'examen de la cour de céans selon les art. 452 al. 2 et 456a CPC-VD et de la maxime d'office applicable, dès lors que sont litigieuses des contributions d'entretien envers un enfant mineur, le moyen est irrecevable en nullité et devra être examiné dans le cadre du recours en réforme.</w:t>
      </w:r>
    </w:p>
    <w:p>
      <w:r>
        <w:rPr>
          <w:b/>
        </w:rPr>
        <w:t>E. 3</w:t>
      </w:r>
    </w:p>
    <w:p>
      <w:r>
        <w:t>a) Saisi d'un recours en réforme contre un jugement principal rendu par un président de tribunal d'arrondissement, le Tribunal cantonal revoit la cause librement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matière de modification de jugement de divorce, les parties peuvent invoquer des faits et des moyens de preuve nouveaux devant l'instance cantonale supérieure (art. 138 al. 1 CC [Code civil du 10 décembre 1907; RS 210] auquel renvoie l'art. 374c CPC-VD; Leuenberger, Basler Kommentar, 3 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 c; ATF 119 II 201 c. 1; Poudret/Haldy/Tappy, Procédure civile vaudoise, 3 ème éd., 2002, n. 3 ad art. 455 CPC-VD, p. 654), le juge doit d'office, même en deuxième instance, statuer sur ces questions, sans être limité par les moyens et conclusions des parties, et ordonner toutes preuves utiles à l'établissement d'un état de fait suffisant (ATF 128 III 411 c. 3.2.1; ATF 122 III 404 précité; ATF 120 II 229 précité; Werro, Concubinage, mariage et démariage, 2000, n° 736, p. 160, et n° 875, p. 189; Sutter/Freiburghaus, Kommentar zum neuen Scheidungsrecht, 1999, n. 10 et 11 ad art. 145 CC, pp. 568-569; Poudret/Haldy/Tappy, op. cit., n. 1 ad art. 3 CPC-VD, p. 13). Selon l'art. 455 al. 2 CPC-VD, le Tribunal cantonal peut d'ailleurs ordonner d'office des mesures complémentaires d'instruction s'il ne s'estime pas suffisamment renseigné pour se prononcer sur ces questions. De même, il peut tenir compte de faits non allégués survenus jusqu'au prononcé de son arrêt (CREC II, 19 février 2010/7; JT 1984 III 19; Poudret/Haldy/Tappy, op. cit., n. 3 ad art. 355 CPC-VD, p. 699). En définitive, la Chambre des recours doit examiner d'office quelle est la solution qui paraît la plus conforme aux intérêts de l'enfant. b) L'état de fait du jugement est conforme aux pièces du dossier et autres preuves administrées. Il y a lieu toutefois de le compléter sur le point suivant : - il ressort d'un bulletin de salaire du 14 juin 2010 produit par le demandeur à l'audience du 15 juin 2010 que le recourant a travaillé pour le 20 ème Caribana Festival, à Crans-sur-Nyon, du 9 au 12 juin 2010, que son salaire horaire était de 22 fr. brut et qu'il a réalisé pour 20 heures de travail un gain brut de 440 francs. Le recourant soutient que l'état de fait doit être complété, respectivement corrigé sur divers points : - il dit être ressortissant portugais, mal maîtriser le français et n'avoir aucune formation professionnelle. Ces éléments ne ressortent pas du dossier et ne peuvent être retenus. Il résulte seulement du jugement de divorce que le recourant est de nationalité brésilienne; - il soutient que le revenu tiré de l'activité pour l'édition 2009 du Caribana Festival, qui a duré 3 jours, n'est pas supérieur à celui obtenu lors du Festival 2010, soit 457 fr. Cet élément ne découle pas directement du dossier, mais on peut retenir avec une vraisemblance suffisante que ce revenu a été proche de celui obtenu en 2010; - il relève que le salaire mensuel brut pour un collaborateur sans apprentissage s'élève à 3'383 fr. dans l'hôtellerie et la restauration. Ce montant résulte effectivement de l'art. 10 de la Convention collective nationale de travail (CCNT) en la matière, dans son texte en vigueur au 1 er janvier 2010.</w:t>
      </w:r>
    </w:p>
    <w:p>
      <w:r>
        <w:rPr>
          <w:b/>
        </w:rPr>
        <w:t>E. 4</w:t>
      </w:r>
    </w:p>
    <w:p>
      <w:r>
        <w:t>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 ème éd., 2010, n. 3 et 4 ad art. 134 CC, pp. 904-905; ATF 120 II 177 c. 3a)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La procédure de modification ne doit pas viser à réexaminer ou corriger le jugement de divorce, mais à l'adapter aux circonstances nouvelles survenues chez les parents ou chez l'enfant (TF 5C_216/2003 du</w:t>
      </w:r>
    </w:p>
    <w:p>
      <w:r>
        <w:rPr>
          <w:b/>
        </w:rPr>
        <w:t>E. 7</w:t>
      </w:r>
    </w:p>
    <w:p>
      <w:r>
        <w:t>janvier 2004 c. 4.1 ; TF 5C_271/2001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En l'espèce, la pension fixée selon convention du 1 er février 2007 ratifiée pour valoir jugement de divorce, a été calculée sur la base d'un revenu de 3'500 fr. net par mois. Il n'est pas contesté que la modification de la situation du recourant, qui a épuisé son droit au chômage et est au bénéfice du revenu d'insertion depuis le 1 er février 2009, est à la fois notable et durable. b) Reste à examiner si un revenu hypothétique peut être imputé au recourant, comme l'a retenu le premier juge. En principe, le juge prend en compte le revenu effectif du débiteur des contributions d'entretien. Toutefois, celui-ci peut se voir imputer un revenu hypothétique supérieur à celui qu'il obtient effectivement de son travail, pour autant qu'une augmentation correspondante du revenu soit effectivement possible et qu'elle puisse raisonnablement être exigée de lui (ATF 128 III 4, JT 2002 I 294 c. 4a; 127 III 136, c. 2a in fine, et références citées). Dans ces cas, le minimum vital peut être entamé (ATF 123 III I, JT 1998 I 139 c. 3e). Il convient d'élucider le niveau de formation et de qualification professionnelles du débiteur et de déterminer si le marché du travail lui permettrait de trouver un emploi équivalent à celui qu'il occupait antérieurement (ATF 128 III 4 précité, JT 2002 I 294). Les autres critères permettant de déterminer le montant du revenu hypothétique sont l'âge et l'état de santé du débirentier, ainsi que la situation du marché du travail (TF 5A_51/2007, du 24 octobre 2007 c. 4.1). Le Tribunal fédéral a par exemple confirmé en arbitraire une décision cantonale qui avait retenu une capacité de gain hypothétique de 4'079 fr. pour un chômeur valide de 56 ans, les premiers juges ayant précisé qu'il s'agissait véritablement d'un minimum, dès lors qu'en 2002, le salaire mensuel moyen pour des activités simples et répétitives dans la région lémanique était de 4'612 fr. (TF 5P_314/2005 du 3 octobre 2005 c.2 et 3). En l'espèce, le recourant a, à tout le moins jusqu'en 2006, exercé la profession de monteur de faux plafonds et cloisons. Il a déclaré avoir également travaillé dans le secteur de la restauration en qualité de serveur. Il est âgé de 37 ans, donc encore jeune et en bonne santé. Même si l'on devait admettre qu'il n'a pas de formation professionnelle, il n'en demeure pas moins qu'il a travaillé dans le secteur de la construction et de l'hôtellerie, domaines où il est notoire que les offres d'emploi sont nombreuses. Le recourant fait valoir que le seul domaine où il se sent apte à reprendre une activité est celui de la restauration, où il serait irréaliste d'obtenir un salaire net de 3'500 fr., le salaire minimal brut selon la CCNT s'élevant à 3'383 francs. Cela étant, il n'a pas seulement tenté de montrer que ses recherches d'emploi n'aboutissaient pas. On peut au demeurant exiger du recourant qu'il mette tout en œuvre pour trouver un emploi non qualité, sans se limiter au domaine de la restauration comme il le voudrait. Dans le domaine du second œuvre de la construction par exemple, dans lequel le recourant a déjà travaillé, le salaire minimal d'un travailleur non qualifié était de 24 fr. 40 de l'heure en 2010, soit 4'336 fr. brut par mois pour un horaire de 177,7 heures (art. 18 de la Convention collective de travail romande du second œuvre 2007-2010 [SOR, (Second œuvre romand de la construction); cf www.fve.ch/fileadmin/docoments/fve.ch/CCT/Second œuvre/Salaire_2010]). Dans l'emploi qu'il a occupé – certes  pour trois jours – au Festival Caribana, le recourant a réalisé un salaire net de 457 fr. pour 20 heures de travail, soit un salaire net de 22 fr. 85 de l'heure qui, multiplié par 177 heures par mois, représente un gain net mensuel supérieur à 4'000 fr. Dans ces circonstances, le salaire hypothétique exigible retenu par le premier juge peut être confirmé, d'autant qu'il est nettement inférieur au salaire mensuel moyen pour des activités simples ou répétitives dans la région lémanique. 5. En conclusion, le recours doit être rejeté, en application de l'art. 465 al. 1 CPC-VD, et le jugement confirmé. 6. Les frais de deuxième instance du recourant sont arrêtés à 300 fr. (art. 323 al. 1 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A.F.________ sont arrêtés à 300 fr. (trois cents francs). IV. L'arrêt motivé est exécutoire. Le président :               Le greffier : Du 27 octobre 2010 Le dispositif de l'arrêt qui précède est communiqué par écrit aux intéressés. Le greffier : Du L'arrêt qui précède, dont la rédaction a été approuvée à huis clos, est notifié en expédition complète, par l'envoi de photocopies, à : ‑ Me Christophe Tafelmacher (pour A.F.________) ‑ Mme D.________. La Chambre des recours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