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710 vom 3. November 2010</w:t>
      </w:r>
    </w:p>
    <w:p>
      <w:r>
        <w:t>VD Tribunal cantonal, 2010-11-03, FR</w:t>
      </w:r>
    </w:p>
    <w:p>
      <w:r>
        <w:rPr>
          <w:b/>
        </w:rPr>
        <w:t xml:space="preserve">Quelle: </w:t>
      </w:r>
      <w:r>
        <w:t>https://mcp.opencaselaw.ch/entscheid/vd_findinfo_HC___2010___710</w:t>
      </w:r>
    </w:p>
    <w:p>
      <w:r>
        <w:t>FR: VD_FINDINFO HC / 2010 / 710 du 3 novembre 2010</w:t>
      </w:r>
    </w:p>
    <w:p>
      <w:r>
        <w:t>IT: VD_FINDINFO HC / 2010 / 710 del 3 novembre 2010</w:t>
      </w:r>
    </w:p>
    <w:p>
      <w:pPr>
        <w:pStyle w:val="Heading2"/>
      </w:pPr>
      <w:r>
        <w:t>Regeste</w:t>
      </w:r>
    </w:p>
    <w:p>
      <w:r>
        <w:t>DOMMAGE CONSÉCUTIF AU DÉFAUT | 257b CO, 257d CO, 257e CO, 530 CO, 543 al. 3 CO, 92 CPC, 4 al. 1 OBLF, 8 OBLF</w:t>
      </w:r>
    </w:p>
    <w:p>
      <w:pPr>
        <w:pStyle w:val="Heading2"/>
      </w:pPr>
      <w:r>
        <w:t>Erwägungen</w:t>
      </w:r>
    </w:p>
    <w:p>
      <w:r>
        <w:rPr>
          <w:b/>
        </w:rPr>
        <w:t>E. 5</w:t>
      </w:r>
    </w:p>
    <w:p>
      <w:r>
        <w:t>a) Les recourants soutiennent que l'intimé H.________ doit être reconnu responsable du dommage qu'ils ont subi du fait du cambriolage survenu en décembre 2004. b) Selon l'article 259e CO, si, en raison du défaut, le locataire a subi un dommage, le bailleur lui doit des dommages et intérêts s'il ne prouve qu'aucune faute ne lui est imputable. Le droit à cette indemnisation est ouvert lorsque quatre éléments sont réunis : une violation du contrat; une faute du bailleur; un dommage subi par le locataire; un lien de causalité entre la violation du contrat et le dommage (Rizzolio, Les travaux de rénovation et de modification de la chose louée entrepris par le bailleur, thèse, Lausanne 1998, pp. 334-335; Lachat, op. cit., pp. 171-172). Le locataire supporte le fardeau de la preuve de l'existence du défaut, de son dommage et du lien de causalité entre ces deux éléments (Lachat, op. cit., p. 171; USPI, Droit suisse du bail à loyer, 1992, nn. 7 et 9 ad art. 259e CO, pp. 239-240), tandis que le bailleur doit établir qu'il n'a commis aucune faute (Lachat, op. cit., p. 172; USPI, op. cit., n. 10 ad art. 259e CO, pp. 240-241). c) En l'espèce, l'instruction à laquelle a participé le bailleur a permis d'établir que le chantier ouvert par celui-ci avait été suffisamment "sécurisé" par l'érection d'une palissade cadenassée de deux mètres cinquante de hauteur, de sorte que le dommage subi du fait du cambriolage ne peut pas lui être imputé à faute. Lorsque les recourants affirment que la sécurité apportée par une palissade cadenassée est inférieure à celle d'une porte d'entrée, ils ne démontrent pas que l'intimé aurait commis une faute en se bornant à ériger cette palissade. De même, lorsqu'ils invoquent le fait qu'un mur de séparation a été renforcé s'agissant du magasin [...] mais non pas pour leur propre commerce, ils ne distinguent pas le fait que c'est la fragilité dudit mur qui a conduit à le renforcer, alors que le mur de leur commerce présentait une épaisseur de huitante centimètre, ce qui n'appelait pas une mesure semblable. Pour le surplus, l'on ne saurait reprocher à l'intimé de ne pas avoir instauré une surveillance constante d'un chantier qui était fermé à clé. Il faut dès lors admettre que l'intimé a apporté la preuve libératoire de l'art. 259e CO et qu'il ne peut être tenu du dommage subi par les recourants du fait d'un cambriolage. Mal fondé, le recours doit être rejeté sur ce point.</w:t>
      </w:r>
    </w:p>
    <w:p>
      <w:r>
        <w:rPr>
          <w:b/>
        </w:rPr>
        <w:t>E. 6</w:t>
      </w:r>
    </w:p>
    <w:p>
      <w:r>
        <w:t>a) Les recourants A.K.________ et B.K.________ font également valoir qu'ils ont subi un dommage du fait des travaux réalisés dans les immeubles de la [...]. b) Les nuisances provenant de chantiers voisins constituent un défaut au sens du droit du bail. Le dommage peut consister dans la diminution du patrimoine du locataire, mais également dans l'absence d'augmentation de celui-ci, en particulier la perte de bénéfice pour des locaux commerciaux ou la perte de clientèle (Rizzolio, op. cit., p. 336 et références; Lachat, op. cit., p. 171). Le bailleur n'est pas tenu de le réparer s'il prouve avoir pris toutes les précautions pour l'éviter, ainsi en s'efforçant de limiter les nuisances au maximum (Lachat, op. cit., n. 4.5, p. 264). Une telle preuve est toutefois difficile à imposer au bailleur tant il est vrai que, par exemple, des travaux de percement de murs ou de ravalement de façades impliquent nécessairement des nuisances. c) En l'espèce, on constate cependant que, par lettres des 18 et 25 juillet 2005, l'intimé a annoncé au recourant des travaux à venir en décrivant les inconvénients qui en résulteraient, montrant par là qu'il était attentif à la situation du recourant. Ce dernier ne s'est d'ailleurs pas plaint de procédés inadéquats de la part du bailleur. Ainsi, on ne saurait retenir que c'est de manière fautive que l'intimé a accompli les travaux de transformation litigieux. De toute manière, l'existence même du dommage susmentionné n'est pas établie. En effet, comme l'ont retenu les premiers juges sur la base des explications de l'expert, il n'est pas possible de déterminer le dommage des recourants dus aux travaux puisque des éléments distincts, ainsi l'impact négatif d'une vente liquidation organisée en 2003, le cambriolage, la modification décidée par les recourants de la gamme de leurs produits et le marché de la bijouterie horlogerie, ont influencé leur chiffre d'affaires. Ces éléments sont certes en partie indirectement liés aux travaux, mais ne sont pas imputables à ceux-ci. La vente liquidation résulte du choix des recourants et n'était pas exigée par les travaux; il en va de même de la modification décidée par les recourants de la gamme de leurs produits. Enfin, l'intimée n'a commis aucune faute en relation avec le cambriolage. Il n'est ainsi pas exclu que les travaux en eux-mêmes n'aient pas entraîné une réduction du revenu des recourants. Peu importe dès lors la question de savoir si, pour constater une diminution du chiffre d'affaires, l'expert a eu tort ou raison d'exclure de ses calculs le revenu de la vente liquidation susmentionnée ainsi que le montant de l'indemnité d'assurance obtenue après le cambriolage : dans tous les cas, il n'a pas été en mesure d'attribuer cette diminution de façon certaine aux travaux. Il faut en conséquence admettre que les recourants ne sont pas parvenus à établir l'existence même d'un dommage. Il n'y a ainsi pas à faire application de l'art. 42 al. 2 CO et à déterminer équitablement la quotité de ce dommage. Le recours de A.K.________ et B.K.________ doit donc être rejeté sur ce point.</w:t>
      </w:r>
    </w:p>
    <w:p>
      <w:r>
        <w:rPr>
          <w:b/>
        </w:rPr>
        <w:t>E. 7</w:t>
      </w:r>
    </w:p>
    <w:p>
      <w:r>
        <w:t>a) Les recourants prétendent ensuite que la réduction de 15 % du loyer retenue par les premiers juges est insuffisante eu égard aux nuisances occasionnées par les travaux susmentionnés. b) Selon l'art. 259d CO, si la chose louée est affectée d'un défaut qui entrave ou restreint l'usage pour lequel elle a été louée, le locataire peut exiger du bailleur une réduction proportionnelle du loyer à partir du moment où le bailleur a eu connaissance du défaut jusqu'à l'élimination de celui-ci. Faute de définition légale, la notion de défaut doit être rapprochée de l'état approprié à l'usage pour lequel la chose a été louée, au sens de l'art. 256 al. 1 CO ; elle suppose la comparaison entre l'état réel de la chose et l'état convenu. L'objet de référence est celui sur lequel le locataire peut sincèrement compter d'après le contenu du contrat, car le défaut se définit comme l'absence d'une qualité dont l'existence avait été promise ou à laquelle la partie contractante pouvait s'attendre selon les règles de la bonne foi (TF 4C.527/1996 du 29 mai 1997, publié in SJ 1997 p. 661, c. 3a, p. 664; plus récemment ATF 135 III 345 c. 3.2; Tercier/Favre/Bugnon, Les contrats spéciaux, 4e éd., Zurich 2009, n. 2096 ss, p. 309; Higi, Zürcher Kommentar, 3e éd. 1994, n. 17 ad art. 256 CO et n. 27 ss ad art. 258 CO). Le défaut peut avoir sa source non seulement dans la chose elle-même, mais aussi dans le voisinage ou l'attitude de tiers (TF 4C.527/1996 du 29 mai 1997, publié in SJ 1997 p. 661, c. 3a, p. 664; TF 4C.144/1985 du 24 septembre 1985, publié in SJ 1986 p. 195, c. 1b, p. 197 ; plus récemment TF 4C.377/2004 du 2 décembre 2005, c. 2.1). En d'autres termes, il y a défaut lorsqu'une péjoration de l'état de la chose louée tel que prévu par le contrat intervient et porte atteinte à son utilisation. Il faut ainsi partir de l'état de l'objet loué tel qu'il pouvait être attendu des parties eu égard aux circonstances existant à la conclusion du contrat, à d'éventuelles assurances données, à l'état des connaissances de l'époque, au montant du loyer ainsi qu'à l'emplacement et aux particularités de cet objet. L'existence d'un défaut sera déterminée eu égard au contrat; elle sera admise si la perturbation intervenue après coup aurait, si elle avait été présente d'emblée, exclu la conclusion du contrat ou aurait modifié ses conditions, ainsi en faisant adopter un loyer plus bas (Brunner, Störungen des Mieters durch Immissionen, in MP 2000, pp. 97 ss, spéc. p. 101). Dans sa jurisprudence (SJ 1997, p. 661), le Tribunal fédéral a précisé que la réduction de loyer que peut exiger le locataire, en application de l'art. 259d CO, doit être proportionnelle au défaut; elle est déterminée par rapport à la valeur de l'objet sans défaut. En principe, on devrait procéder selon la méthode dite relative ou proportionnelle, telle qu'elle est appliquée dans le contrat de vente : on estime la valeur objective de la chose louée avec son défaut et celle qu'elle aurait sans défaut; puis on réduit le loyer en proportion. Mais le calcul n'est pas toujours facile, en particulier lorsque le défaut est d'importance moyenne; dans ce cas, on peut admettre une appréciation en équité, par référence à l'expérience générale de la vie, au bon sens et à la casuistique (Corboz, Les défauts de la chose louée, SJ 1979, pp. 145-146; Lachat, op. cit, pp. 257-258; ATF 130 III 504 c. 4.1.). A cet égard, le juge doit apprécier objectivement la mesure dans laquelle l'usage convenu se trouve limité, en tenant compte des particularités de chaque espèce au nombre desquelles la destination des locaux joue un rôle important (TF 4C.419/2005 du 24 octobre 2005 c. 2.4. et les réf.). L'autorité de recours ne doit pas substituer sa propre appréciation à celle de l'autorité inférieure; elle n'intervient que si celle-ci a abusé de son pouvoir d'appréciation, c'est-à-dire si elle a retenu des critères inappropriés, si la décision rendue aboutit à un résultat manifestement injuste ou à une iniquité choquante (ATF 130 III 504 c. 4.1). c) En l'espèce, à l'issue d'une instruction fouillée en ce qui concerne la nature et le déroulement des travaux, les premiers juges ont arrêté le taux de réduction du loyer à 15 % en considération de la variation de l'intensité des nuisances dans le temps. Leurs motifs sont convaincants et il y a lieu d'y adhérer (art. 471 al. 3 CPC-VD). On ne saurait reprocher aux premiers juges d'avoir abusé de leur large pouvoir d'appréciation et leur décision n'aboutit pas à un résultat manifestement injuste ou à une iniquité choquante, de sorte qu'elle peut être confirmée. Mal fondé, le recours doit être rejeté sur ce point.</w:t>
      </w:r>
    </w:p>
    <w:p>
      <w:r>
        <w:rPr>
          <w:b/>
        </w:rPr>
        <w:t>E. 8</w:t>
      </w:r>
    </w:p>
    <w:p>
      <w:r>
        <w:t>a) Les recourants A.K.________ et B.K.________ soutiennent enfin qu'ils ont droit au remboursement des acomptes de chauffage qu'ils ont versés à l'intimé, dès lors que celui-ci ne leur a pas fourni régulièrement des décomptes à ce sujet et qu'ils contestent ceux qu'il n'a produits que tardivement. b) Le bailleur est tenu de permettre au locataire de consulter les pièces justificatives des frais accessoires (art. 257b al. 2 CO et 8 al. 2 OBLF) et de lui présenter un décompte au moins une fois par année (art. 4 al. 1 et 8 al. 1 OBLF). L'exigibilité de la créance du bailleur en paiement de la totalité des frais accessoires ou d'un solde débiteur est subordonnée à la condition qu'il ait permis au locataire de consulter les pièces justificatives et fourni un décompte (Wessner, L'obligation du locataire de payer le loyer et les frais accessoires, 9 ème séminaire sur le droit du bail, Neuchâtel 1996, n. 50, p. 14; Higi, op. cit., nn. 33 et 38 ad art. 257a et 257b CO, p. 235). A défaut, le locataire peut saisir l'autorité de conciliation et demander que le bailleur soit condamné à établir le décompte ou à lui remettre les pièces justificatives, refuser de payer les frais accessoires aussi longtemps que le bailleur n'a pas satisfait à son obligation ou demander le remboursement des acomptes payés durant l'exercice concerné (Lachat, op. cit., p. 347 et 348). c) En l'espèce, si le bailleur n'a fourni que très tardivement les décomptes de chauffage, le recourant ne peut pas en déduire un droit au remboursement des acomptes qu'il a versés puisque cette sanction n'est préconisée par l'auteur précité qu'en cas de demeure du bailleur. S'il est vrai au surplus que le recourant conteste les dits décomptes, cette seule déclaration ne suffit pas à établir leur caractère erroné et fonder une créance en restitution d'un trop perçu. Il aurait incombé au recourant de faire porter l'instruction à ce sujet, ce dont il s'est abstenu. C'est ainsi à juste titre que les premiers juges ont refusé de lui accorder un remboursement. Mal fondé, le recours doit en conséquence être rejeté sur ce point.</w:t>
      </w:r>
    </w:p>
    <w:p>
      <w:r>
        <w:rPr>
          <w:b/>
        </w:rPr>
        <w:t>E. 9</w:t>
      </w:r>
    </w:p>
    <w:p>
      <w:r>
        <w:t>a) Le recourant H.________ soutient que les intimés n'auraient pas dû se voir allouer des dépens, même réduits de 60 %, dès lors qu'ils n'ont obtenu qu'environ un tiers de leur conclusion en réduction de loyer (II) et ont été déboutés tant sur leur conclusion en dommages et intérêts pour perte de gain (I) que sur leur conclusion tendant à l'instauration de mesures de sûretés (III). b) Selon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(Poudret/Haldy/Tappy, op. cit., n. 3 ad art. 92 CPC-VD, p. 175).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(Poudret/Haldy/Tappy, ibidem). Une compensation des dépens a été admise dans un cas où le demandeur s'était vu allouer un peu plus de 11 % de ses conclusions (CREC I 18 janvier 2006/15) et où une partie avait obtenu le montant de 606 fr. sur les 4'179 fr. réclamés (CREC I 10 avril 2002/146). c) En l'espèce, si les intimés n'obtiennent qu'environ 2 % de leurs conclusions (15'434 + 300'135 : 5'787 x 100), il n'en reste pas moins qu'ils ont obtenu gain de cause sur le principe d'une réduction de loyer, alors que le recourant contestait le principe de sa responsabilité et qu'une instruction approfondie s'est avérée nécessaire à ce sujet. A cela s'ajoute que, s'ils n'ont pas obtenu que des avances sur frais accessoires leur soient remboursées, cela tient au fait que le recourant H.________ a produit in extremis des décomptes de charges en cours de procédure, ne satisfaisant ainsi que très tardivement à ses obligations. En imposant aux intimés une réduction de près des deux tiers des dépens, les premiers juges n'ont ainsi pas abusé de leur pouvoir d'appréciation. Le recours de H.________ doit donc être rejeté.</w:t>
      </w:r>
    </w:p>
    <w:p>
      <w:r>
        <w:rPr>
          <w:b/>
        </w:rPr>
        <w:t>E. 10</w:t>
      </w:r>
    </w:p>
    <w:p>
      <w:r>
        <w:t>En conclusion, les recours de A.K.________ et B.K.________, d'une part, et de H.________, d'autre part, doivent être rejetés en application de l'article 465 al. 1 er CPC et le jugement confirmé. Les frais de deuxième instance de A.K.________ et B.K.________ sont arrêtés à 3'451 fr. et ceux de H.________ à 391 fr. (art. 232 du tarif du 4 décembre 1984 des frais judiciaires en matière civile; RSV 270.11.5). Par ces motifs, la Chambre des recours du Tribunal cantonal, statuant à huis clos, en application de l'art. 465 al. 1 CPC, prononce : I.              Les recours sont rejetés. II.              Le jugement est confirmé. III.              Les frais de deuxième instance des recourants A.K.________ et B.K.________ sont arrêtés à 3'451 fr. (trois mille quatre cent cinquante et un francs). IV.              Les frais de deuxième instance du recourant H.________ sont arrêtés à 391 fr. (trois cent nonante et un francs). V.              L'arrêt motivé est exécutoire. Le président :               La greffière : Du 3 novembre 2010 Le dispositif de l'arrêt qui précède est communiqué par écrit aux intéressés. La greffière : Du</w:t>
      </w:r>
    </w:p>
    <w:p>
      <w:r>
        <w:rPr>
          <w:b/>
        </w:rPr>
        <w:t>E. 11</w:t>
      </w:r>
    </w:p>
    <w:p>
      <w:r>
        <w:t>mars 2011 L'arrêt qui précède, dont la rédaction a été approuvée à huis clos, est notifié en expédition complète, par l'envoi de photocopies, à : ‑ Me Jean-Christophe Diserens (pour A.K.________ et B.K.________), ‑ Me François Magnin (pour H.________).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