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704 vom 8. November 2010</w:t>
      </w:r>
    </w:p>
    <w:p>
      <w:r>
        <w:t>VD Tribunal cantonal, 2010-11-08, FR</w:t>
      </w:r>
    </w:p>
    <w:p>
      <w:r>
        <w:rPr>
          <w:b/>
        </w:rPr>
        <w:t xml:space="preserve">Quelle: </w:t>
      </w:r>
      <w:r>
        <w:t>https://mcp.opencaselaw.ch/entscheid/vd_findinfo_HC___2010___704</w:t>
      </w:r>
    </w:p>
    <w:p>
      <w:r>
        <w:t>FR: VD_FINDINFO HC / 2010 / 704 du 8 novembre 2010</w:t>
      </w:r>
    </w:p>
    <w:p>
      <w:r>
        <w:t>IT: VD_FINDINFO HC / 2010 / 704 del 8 novembre 2010</w:t>
      </w:r>
    </w:p>
    <w:p>
      <w:pPr>
        <w:pStyle w:val="Heading2"/>
      </w:pPr>
      <w:r>
        <w:t>Regeste</w:t>
      </w:r>
    </w:p>
    <w:p>
      <w:r>
        <w:t>SERVITUDE, LIBÉRATION JUDICIAIRE D'UNE SERVITUDE | 736 al. 2 CC, 736 CC, 452 al. 1ter CPC, 452 al. 2 CPC, 452 CPC</w:t>
      </w:r>
    </w:p>
    <w:p>
      <w:pPr>
        <w:pStyle w:val="Heading2"/>
      </w:pPr>
      <w:r>
        <w:t>Erwägungen</w:t>
      </w:r>
    </w:p>
    <w:p>
      <w:r>
        <w:rPr>
          <w:b/>
        </w:rPr>
        <w:t>E. 1</w:t>
      </w:r>
    </w:p>
    <w:p>
      <w:r>
        <w:t>Les art. 444, 445 et 451 ch. 3 CPC-VD ouvrent la voie des recours en nullité et en réforme contre les jugements principaux rendus par un président de tribunal d'arrondissement statuant en procédure accélérée.</w:t>
      </w:r>
    </w:p>
    <w:p>
      <w:r>
        <w:rPr>
          <w:b/>
        </w:rPr>
        <w:t>E. 2</w:t>
      </w:r>
    </w:p>
    <w:p>
      <w:r>
        <w:t>La recourante conclut subsidiairement à l'annulation du jugement. Elle ne fait toutefois valoir aucun moyen de nullité spécifique à l'appui de cette conclusion, de sorte que celle-ci est irrecevable, la cour de céans n'examinant que les moyens de nullité dûment développés (Poudret/Haldy/Tappy, Procédure civile vaudoise,</w:t>
      </w:r>
    </w:p>
    <w:p>
      <w:r>
        <w:rPr>
          <w:b/>
        </w:rPr>
        <w:t>E. 3</w:t>
      </w:r>
    </w:p>
    <w:p>
      <w:r>
        <w:t>a) Saisie d'un recours en réforme contre un jugement principal rendu en procédure accélérée par un président de tribunal d'arrondissement, la Chambre des recours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 En l'espèce, l'état de fait du jugement est conforme aux pièces du dossier et a été complété sur la base de celles-ci. La recourante a requis une inspection locale. Pour les raisons qui seront exposées au considérant 6c/bb ci-dessous, il n'y a en l'occurrence pas lieu de procéder à une instruction complémentaire, la cour de céans étant à même de statuer en réforme. Au surplus, les pièces produites par la recourante figurent déjà au dossier de première instance.</w:t>
      </w:r>
    </w:p>
    <w:p>
      <w:r>
        <w:rPr>
          <w:b/>
        </w:rPr>
        <w:t>E. 4</w:t>
      </w:r>
    </w:p>
    <w:p>
      <w:r>
        <w:t>a) La recourante critique le jugement en tant qu’il considère que le «PLAN ACCORD DE PRINCIPE» du 4 février 2008 équivaut à un contrat constitutif de servitude, qui n’aurait toutefois pas été valablement conclu, dès lors qu'il n'a pas été signé par l’ensemble des propriétaires des parcelles limitrophes à la sienne. L'intimé ayant personnellement signé cet accord en sa qualité de seul bénéficiaire de la servitude litigieuse, elle estime qu'il a valablement accepté le projet de construction et par là-même renoncé à la servitude litigieuse, laquelle a été remplacée par la nouvelle servitude résultant de l’accord précité. Selon elle, le comportement de l’intimé est ainsi abusif et la servitude litigieuse ne saurait lui être - à elle recourante - opposable. b) L’accord dont se prévaut la recourante a été présenté par l'architecte mandaté par celle-ci pour les travaux de transformation de sa villa comme un document de «pré mise à l’enquête». Selon le courrier du 27 décembre 2007, cette démarche visait à éviter de devoir renoncer en dernière minute à une des grandes orientations de la future construction, pour cause d’opposition au moment de la mise à l’enquête. Contrairement à ce que prétend la recourante, on ne saurait voir dans le «PLAN ACCORD DE PRINCIPE» un contrat constitutif de servitude remplaçant celle inscrite en 1958. Par sa signature, l'intimé a en l'espèce consenti à la transformation projetée et à la création d'un toit plat sous forme d'un niveau habitable, en soi incompatible avec l'interprétation de la servitude. Ce document doit ainsi être qualifié de renonciation contractuelle de l'intimé à se prévaloir de la servitude inscrite à l'égard du projet de la recourante, dans la mesure où celui-ci remplirait les caractéristiques énumérées au chiffre I du document du 4 février 2008. Il convient en outre de déterminer si cet accord lie ou non l'intimé, dès lors que certains propriétaires n'ont pas signé le document qui leur a été soumis en février 2008. Selon le premier juge, les parties ont subordonné la validité de l'accord à l'acceptation de celui-ci par l'ensemble des propriétaires limitrophes (cf. jgt, p. 8). Cette approche ne prête pas le flanc à la critique. En effet, elle ressort du texte même de l'accord et de l'allégation de la recourante figurant dans sa réponse du 23 mars 2009, selon laquelle l'intimé était disposé à accepter le projet «pour autant que les propriétaires limitrophes donnent aussi leur accord». Bien que ce dernier élément ait été contesté par l'intimé, il y a lieu de considérer que la recourante a ainsi admis que cet accord était conditionnel. Dans la mesure où les propriétaires des parcelles limitrophes n'ont pas tous signé le document, l'intimé n'est pas lié par dit accord. Mal fondé, le recours doit être rejeté sur ce point.</w:t>
      </w:r>
    </w:p>
    <w:p>
      <w:r>
        <w:rPr>
          <w:b/>
        </w:rPr>
        <w:t>E. 5</w:t>
      </w:r>
    </w:p>
    <w:p>
      <w:r>
        <w:t>a) La recourante reproche également en substance au premier juge de s’être - sans aucune justification - écarté des conclusions de l’expert et de ne pas avoir retenu les éléments du rapport d'expertise qui confirmaient que le projet mis à l’enquête était conforme au contenu de la servitude. b) Le jugement entrepris ne mentionne que très brièvement le rapport d'expertise (cf. jgt, p. 12). Le premier juge se contente en effet de se référer aux considérations de l’expert selon lesquelles «un toit plat n’est pas un "toit de dimensions normales"» au sens de la servitude litigieuse et que si une toiture plate n'est pas interdite par la servitude, elle est en revanche contraire à son esprit. L’expert a toutefois encore précisé, s’agissant de la variante «toit plat» choisie par la recourante, que ce type de surélévation ne pouvait se réaliser qu’avec l’accord du propriétaire de la parcelle n o P. 1.________, soit l'intimé. La solution envisagée par la recourante était contraire à la restriction au droit de bâtir, raison pour laquelle l’architecte avait préparé le «PLAN ACCORD DE PRINCIPE» daté du 4 février 2008, afin d’obtenir l’accord des voisins «pour mettre à l’enquête un projet réglementaire, mais contraire à la servitude par la forme de la toiture. (sic) de l’attique». Même si, sous l’angle de la préservation de la vue, l’expert a estimé que l'intimé n’était que très peu gêné par l’une ou l’autre des solutions de surélévation envisagées, il n’en demeure pas moins que celle du toit plat n’était, à dire d’expert, pas conforme à la servitude litigieuse. Compte tenu de ce qui précède, on ne saurait considérer que le premier juge a outrepassé son pouvoir d’appréciation en s’écartant des constatations et conclusions de l’expert. Mal fondé, le recours doit être rejeté sur ce point également.</w:t>
      </w:r>
    </w:p>
    <w:p>
      <w:r>
        <w:rPr>
          <w:b/>
        </w:rPr>
        <w:t>E. 6</w:t>
      </w:r>
    </w:p>
    <w:p>
      <w:r>
        <w:t>a) La recourante fait enfin valoir que la servitude a perdu son utilité et ne présente plus aucun intérêt raisonnable pour l’intimé, motif pour lequel elle devrait être radiée. Elle invoque l’évolution de la réglementation communale et le développement du quartier concerné depuis l’inscription de la servitude litigieuse au registre foncier en 1958 qui, à ses yeux, ont supprimé tout intérêt pour le fonds dominant au maintien de ladite servitude. La construction d’une maison sur la parcelle n o P. 2________, en contrebas de la parcelle de l’intimé, postérieurement à la constitution de la servitude litigieuse, condamnerait en outre dans une très large mesure la vue depuis la parcelle de l’intimé en direction de celle de la recourante. Au demeurant, il n’y aurait, compte tenu de la topographie des lieux, plus de risque pour l’intimé de voir une construction érigée sur la parcelle de la recourante dans les limites de la réglementation communale gêner sa vue. b) Aux termes de l'art. 736 al. 2 CC (Code civil suisse du 10 décembre 1907, RS 210), le propriétaire grevé peut obtenir la libération totale ou partielle d'une servitude qui ne conserve qu'une utilité réduite, hors de proportion avec les charges imposées au fonds servant. Selon la doctrine, les faits qui aggravent la charge pour le fonds servant doivent être postérieurs à la constitution de la servitude (Steinauer, Les droits réels, t. II, 3 ème éd., Berne 2002, n. 2274, p. 386). Est décisif le fait que l'intérêt au maintien de la servitude soit devenu proportionnellement ténu, peu importe que ce soit en raison d'une diminution de l'intérêt du propriétaire du fonds dominant ou d'une aggravation de la charge pour le propriétaire du fonds servant (Steinauer, op. cit., n. 2275, p. 387, et la jurisprudence citée; sur tous ces points: Grossrieder, Comment se débarrasser d'une servitude foncière qui gêne un projet de construction?, in Droit de la Construction [DC] 3/2005, pp. 108 ss, spéc. p. 110). L'aggravation de la charge ne doit pas être imputable au propriétaire du fonds servant. De plus, il ne suffit pas que la servitude empêche une certaine utilisation du fonds servant pour que la charge soit disproportionnée; il faut encore que le fonds grevé ne puisse plus du tout être utilisé rationnellement (Steinauer, op. cit. n. 2275a, p. 387). Enfin, le propriétaire du fonds servant ne peut obtenir la libération de la servitude qu'à condition d'indemniser le propriétaire du fonds dominant (Steinauer, op. cit., n. 2276, p. 387). c/aa) C'est à tort que la recourante soutient que la construction de la villa du frère de l’intimé sur la parcelle n o P. 2________, située entre les parcelles n os P. 1.________ et P. 3________, serait intervenue postérieurement à la constitution de la servitude. Il résulte au contraire des éléments figurant au dossier, savoir notamment l'expertise, que la maison du frère de l’intimé - B.D.________ - a été édifiée sur la parcelle n o P. 2________ en 1958, soit avant la constitution de la servitude litigieuse. Preuve en est que l’acte de vente et de constitution de servitude du 3 décembre 1958 se réfère, relativement à la hauteur et au genre de la future ou des futures constructions, «à celle de M. B.D.________», à laquelle elles devront être «similaires». Ce renvoi n’aurait aucun sens si ladite construction n’avait pas existé au moment de la passation de l’acte. bb) A l'instar du premier juge, qui a procédé à une inspection locale (cf. jgt, p. 10), on doit observer que l’immeuble de la recourante - et plus particulièrement la toiture de celui-ci - sont clairement visibles depuis la parcelle de l'intimé. Il n’y a aucune raison de remettre en cause cette constatation, qui se trouve du reste corroborée par les photos jointes au rapport d'expertise, en particulier par les annexes E et F. Une inspection locale par la cour de céans, telle que requise par la recourante, n’apporterait à cet égard aucun élément supplémentaire. Par conséquent, c'est à bon droit que le président du tribunal d'arrondissement a considéré que l’intimé a toujours un intérêt actuel à la préservation de sa vue, comme à l’époque de la constitution de la servitude. cc) Outre le fait que l'évolution de la réglementation de droit public relative au quartier en cause est sans incidence sur la validité de la servitude litigieuse, les explications de la recourante se fondent sur des éléments ne figurant pas au dossier. Quoi qu’il en soit, même s’il est avéré que le quartier s’est développé ces quarante dernières années et quelles que soient les règles communales actuellement applicables aux nouvelles constructions dans la zone considérée, on ne saurait exclure qu’une construction ne respectant pas l’esprit, si ce n’est la lettre, de la servitude litigieuse puisse être érigée sur la parcelle de la recourante. Cette éventualité est d’autant moins à écarter qu’avant le projet de transformation litigieux, un premier projet de construction d’une villa familiale sur la parcelle de la recourante avait déjà vu le jour en 1973, puis un second en 1977 auquel l’intimé et son frère avaient fait opposition. C’est dès lors à juste titre que le premier juge a considéré que l’intérêt de l’intimé à l’existence de la servitude litigieuse n’avait pas disparu et qu’il devait être tenu pour raisonnable. Au demeurant, la servitude litigieuse n’impose pas au fonds servant une charge telle que celui-ci ne puisse plus être utilisé rationnellement. Le recours s'avère ainsi mal fondé sur ce point également.</w:t>
      </w:r>
    </w:p>
    <w:p>
      <w:r>
        <w:rPr>
          <w:b/>
        </w:rPr>
        <w:t>E. 7</w:t>
      </w:r>
    </w:p>
    <w:p>
      <w:r>
        <w:t>En conclusion, le recours doit être rejeté, en application de l'art. 465 al. 1 CPC-VD, et le jugement confirmé. Les frais de deuxième instance de la recourante sont arrêtés à 3'000 fr. (art. 232 al. 1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de la recourante F.________ sont arrêtés à 3'000 fr. (trois mille francs). IV. L'arrêt motivé est exécutoire. Le président :               La greffière : Du</w:t>
      </w:r>
    </w:p>
    <w:p>
      <w:r>
        <w:rPr>
          <w:b/>
        </w:rPr>
        <w:t>E. 8</w:t>
      </w:r>
    </w:p>
    <w:p>
      <w:r>
        <w:t>novembre 2010 Le dispositif de l'arrêt qui précède est communiqué par écrit aux intéressés. La greffière : Du L'arrêt qui précède, dont la rédaction a été approuvée à huis clos, est notifié en expédition complète, par l'envoi de photocopies, à : ‑ Me Xavier Pétremand (pour F.________), ‑ Me Daniel Pache (pour A.D.________).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