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702 vom 17. Januar 2011</w:t>
      </w:r>
    </w:p>
    <w:p>
      <w:r>
        <w:t>VD Tribunal cantonal, 2011-01-17, FR</w:t>
      </w:r>
    </w:p>
    <w:p>
      <w:r>
        <w:rPr>
          <w:b/>
        </w:rPr>
        <w:t xml:space="preserve">Quelle: </w:t>
      </w:r>
      <w:r>
        <w:t>https://mcp.opencaselaw.ch/entscheid/vd_findinfo_HC___2010___702</w:t>
      </w:r>
    </w:p>
    <w:p>
      <w:r>
        <w:t>FR: VD_FINDINFO HC / 2010 / 702 du 17 janvier 2011</w:t>
      </w:r>
    </w:p>
    <w:p>
      <w:r>
        <w:t>IT: VD_FINDINFO HC / 2010 / 702 del 17 gennaio 2011</w:t>
      </w:r>
    </w:p>
    <w:p>
      <w:pPr>
        <w:pStyle w:val="Heading2"/>
      </w:pPr>
      <w:r>
        <w:t>Regeste</w:t>
      </w:r>
    </w:p>
    <w:p>
      <w:r>
        <w:t>APPRÉCIATION DES PREUVES, INTERDICTION DE L'ARBITRAIRE, MESURE PROVISIONNELLE, MOYEN DE DROIT CANTONAL, DIVORCE, OBLIGATION D'ENTRETIEN | 111 al. 1 CPC, 111 CPC, 444 al. 1 ch. 3 CPC, 444 CPC, 9 Cst.</w:t>
      </w:r>
    </w:p>
    <w:p>
      <w:pPr>
        <w:pStyle w:val="Heading2"/>
      </w:pPr>
      <w:r>
        <w:t>Erwägungen</w:t>
      </w:r>
    </w:p>
    <w:p>
      <w:r>
        <w:rPr>
          <w:b/>
        </w:rPr>
        <w:t>E. 1</w:t>
      </w:r>
    </w:p>
    <w:p>
      <w:r>
        <w:t>Le Code de procédure civile suisse du 19 décembre 2008 (ci-après: CPC; RS 272) est entré en vigueur le 1 er janvier 2011. L'arrêt attaqué ayant été communiqué aux parties avant cette date, les règles du Code de procédure civile vaudois du 14 décembre 1966 (ci-après: CPC-VD; RSV 270.11) sont applicables à la présente procédure de recours (art. 405 al. 1 CPC).</w:t>
      </w:r>
    </w:p>
    <w:p>
      <w:r>
        <w:rPr>
          <w:b/>
        </w:rPr>
        <w:t>E. 2</w:t>
      </w:r>
    </w:p>
    <w:p>
      <w:r>
        <w:t>a) La voie du recours en nullité de l'art. 444 CPC-VD est seule ouverte contre les arrêts sur appel de mesures provisionnelles pour les griefs énoncés à l'alinéa premier de cette disposition, celle du recours en réforme étant exclue (JT 2007 III 48; JT 1996 III 59; Poudret/Haldy/Tappy, Procédure civile vaudoise,</w:t>
      </w:r>
    </w:p>
    <w:p>
      <w:r>
        <w:rPr>
          <w:b/>
        </w:rPr>
        <w:t>E. 3</w:t>
      </w:r>
    </w:p>
    <w:p>
      <w:r>
        <w:t>La recourante invoque le grief tiré de l'arbitraire dans l'appréciation des preuves. La cour de céans a admis que le grief tiré de l'appréciation arbitraire des preuves pouvait faire l'objet d'un recours en nullité au sens de l'art. 444 al. 1 ch. 3 CPC-VD,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135 V 2 c. 1.3; ATF 134 I 140 c. 5.4, JT 2009 I 303; ATF 134 I 263 c. 3.1).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w:t>
      </w:r>
    </w:p>
    <w:p>
      <w:r>
        <w:rPr>
          <w:b/>
        </w:rPr>
        <w:t>E. 8</w:t>
      </w:r>
    </w:p>
    <w:p>
      <w:r>
        <w:t>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CPC-VD,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La loi du 17 juin 2005 sur le Tribunal fédéral (ci-après: LTF; RS 173.110), dans sa teneur au 31 décembre 2010, n'impose pas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CPC-VD ne permet pas à la Chambre des recours d'entrer en matière sur un grief tiré de la violation du droit matériel, même sous l'ange de l'arbitraire (JT 2007 III 48, avec note de Tappy, op. cit., pp. 60-61). Bien que le délai d'adaptation prévu par la LTF soit échu en raison de l'entrée en vigueur le 1 er janvier 2011 du CPC, la règle précitée reste applicable aux recours appliquant le CPC-VD en vertu de la règle de l'art. 405 al. 1 CPC (Tappy, Le droit transitoire applicable lors de l'introduction de la nouvelle procédure civile unifiée, JT 2010 III 11, spéc. pp. 45-46). 4. a) La recourante reproche en substance aux juges de l'appel d'avoir, lors de l'établissement de ses charges incompressibles, écarté des postes prouvés par pièces. Le tribunal d'arrondissement a examiné si le revenu de la recourante lui permettait de couvrir dites charges. On ne saurait par principe exclure la prise en compte pour la recourante de certaines de ces charges, au motif qu'elles ne l'ont pas été pour l'intimé. La question de savoir si c'est à bon droit que les juges de l'appel ont procédé de cette manière, ou s'il y aurait lieu d'appliquer la méthode de la répartition des excédents par rapport au minimum vital des parties, relève de l'application du droit matériel et ne saurait être examinée dans le cadre du présent recours en nullité. b/aa) La recourante estime que c'est une somme de 1'350 fr. qui aurait dû être retenue à titre de montant de base de son minimum vital, et non celle de 1'200 francs. L’intimé objecte que le tribunal d'arrondissement a fixé le montant de base de son propre minimum vital à 1'250 fr. [recte: 1'200 fr.] (cf. arrêt sur appel, p. 6 in fine), si bien que ce poste aurait été réduit dans la même mesure pour les deux parties et qu'on ne saurait qualifier l'arrêt d'arbitraire sur ce point. bb) Ce moyen touche à la détermination du minimum vital selon la loi fédérale du 11 avril 1889 sur la poursuite pour dettes et la faillite (ci-après: LP; RS 281.1), ce qui relève du droit et non du fait. Un tel grief est dès lors irrecevable en nullité. Quoi qu'il en soit, ce point n'aurait pas été susceptible d'influer sur le sort du recours. En effet, selon les lignes directrices pour le calcul du minimum vital du droit des poursuites selon l'art. 93 LP, émises le 1 er juillet 2009 par la Conférence des préposés aux poursuites et faillites de Suisse (publiées in Blätter für Schuldbetreibung und Konkurs [BlSchK] 2009, pp. 192 ss), le montant de base est de 1'200 fr. pour un débiteur vivant seul et de 1'350 fr. pour un débiteur monoparental, soit lorsque l’intéressé vit seul avec des enfants à entretenir (Bastons Bulletti, L'entretien après divorce: méthodes de calcul, montant, durée et limites, in SJ 2007 II pp. 77 ss, spéc. p. 85). Ainsi, si les juges de l'appel auraient apparemment dû majorer ce poste des charges de la recourante de 150 fr., il convient toutefois de relever que B.W.________ et C.W.________ sont majeurs, respectivement depuis le 7 avril 2007 et le 31 mai 2010. Or, l’assistance versée à des enfants majeurs est assimilée à celle versée à des tiers et n’entre pas dans le calcul du minimum vital du droit des poursuites (Bastons Bulletti, op. cit., pp. 86-87), le coût d’entretien des enfants majeurs n’étant ajouté audit minimum vital que si la situation le permet (Bastons Bulletti, op. cit., note 72 p. 89 et p. 91). Les juges de l'appel ont en l'espèce retenu pour chaque époux le montant de base du minimum vital pour un débiteur vivant seul, soit 1'200 fr., ce qui ne saurait être qualifié d'arbitraire. La prise en compte du montant pour un débiteur monoparental, soit 150 fr. de plus que la somme retenue, n'aurait au demeurant pas impliqué l'admission du recours (cf. infra, c. 4f). c/aa) La recourante reproche au tribunal d'arrondissement de n’avoir pas ajouté à ses charges mensuelles de logement - évaluées à un montant de 1'697 fr. 90, constitué de charges hypothécaires - des frais de chauffage, soit de mazout, par 300 francs. L’intimé conteste tout arbitraire sur ce point, en soulignant qu'en sus des frais de loyer, un amortissement distinct de 516 fr. par mois relatif à l'immeuble occupé par la recourante est comptabilisé pour chacune des parties. bb) Les frais de chauffage et les charges accessoires du logement, répartis sur douze mois, relèvent du minimum vital selon les lignes directrices susmentionnées. Il ressort de la facture établie le 4 janvier 2010 par la société [...] que la recourante a supporté, pour cette livraison, des frais de mazout d'un montant 2'923 fr. 75. Sur la base de ce document - le plus récent figurant au dossier - les frais moyens de chauffage de la recourante peuvent être estimés à 245 fr. par mois, bien que le prix de cette marchandise soit peu stable et que la consommation moyenne de la recourante - qui dépend elle-même des variations climatiques - soit inconnue. Ainsi, ce montant doit être ajouté aux frais de logement de la recourante, d'autant plus que le loyer de l'intimé, par 1'845 fr., inclut les charges (cf. ordonnance de mesures provisionnelles du 29 janvier 2007, p. 3). Néanmoins, l'augmentation des charges incompressibles de la recourante de 245 fr. est sans influence sur le sort du recours (cf. infra c. 4f). d/aa) La recourante considère que les juges de l'appel auraient dû ajouter à la somme de 300 fr. retenue pour sa prime d’assurance-maladie le montant mensualisé de sa franchise annuelle de 1'500 fr., ainsi que la part mensuelle de sa quote-part de participation à ses frais médicaux, soit annuellement 700 francs. Ce poste serait ainsi augmenté de 183 fr. 35. L’intimé se borne quant à lui à relever qu’en chiffrant dit poste à 300 fr., les premiers juges sont déjà allés au-delà du montant de la prime mensuelle de base de la recourante, qui s'élève à 256 fr. 40. bb) Si le juge matrimonial tient compte des cotisations à l’assurance-maladie de base, obligatoire, il peut aussi retenir la part non couverte des frais médicaux ou dentaires et la franchise, si des frais effectifs réguliers sont établis, la solution contraire étant aussi admissible si elle se fonde sur l’égalité de traitement des parties (Bastons Bulletti, op. cit., p. 86 et note 50). En l'espèce, il ressort du décompte de prestations établi le 5 mars 2010 par la caisse-maladie de la recourante pour la période du 6 février 2009 au 25 janvier 2010, que la franchise annuelle 2009 de 1'500 fr. a été atteinte et que la quote-part à charge de l'assurée s'est élevée pour cette année-là à 502 fr. 70. Il convient ainsi de prendre en considération le montant mensualisé de la franchise de 1'500 fr. et, compte tenu des problèmes de santé de la recourante liés à l'accident dont elle a été victime en 2005, la quote-part de participation de l'assurée de 700 fr. (art. 64 al. 2 let. b LAMal [loi fédérale du 18 mars 1994 sur l’assurance-maladie, RS 832.10] et 103 al. 2 OAMal [ordonnance du 27 juin 1995 sur l’assurance-maladie, RS 832.102]). Par conséquent, les frais d'assurance-maladie déterminants s'élèvent à 256 fr. 40 (prime de l'assurance de base), plus 183 fr. 35 (1'500 fr. + 700 fr. /12), soit 439 fr. 75. Un montant arrondi de 140 fr. doit ainsi être ajouté aux charges incompressibles de la recourante, sans toutefois que cela entraîne l'admission du recours (cf. infra, c. 4f). e/aa) La recourante soutient que, compte tenu des séquelles de l'accident de circulation routière dont elle a été victime en 2005, les juges de l'appel auraient dû inclure dans ses charges incompressibles ses frais de transport, par 576 fr. (2 x 24 km par jour x 5 jours ouvrables par semaine x 48 semaines x 0 fr. 60 par kilomètre = 6'912 fr. par année, soit 576 fr. par mois, selon le calcul contenu dans son procédé écrit du 23 avril 2010). L’intimé relève quant à lui que ce poste n'a pas non plus été retenu dans le calcul de ses propres charges. De plus, son taux d'activité est de 80% au lieu de 50% pour la recourante et il effectue le trajet Lausanne-Vevey (et retour), alors que celui de la recourante - Tannay-Genève et retour - est plus court. bb) En principe, les frais de déplacement nécessaires pour se rendre au travail sont des frais d’acquisition du revenu, qui entrent dans les charges incompressibles (Baston Bulletti, op. cit., p. 86). Toutefois, il ne serait pas équitable de les prendre en considération uniquement pour la recourante, alors que les juges de l'appel ont implicitement écarté cette charge - plus lourde pour le mari que pour l’épouse - de manière symétrique. De plus, selon sa déclaration fiscale pour l'année 2009, l’intimé effectue ces trajets en transports publics. Si la recourante connaît effectivement des problèmes de santé consécutifs à son accident, qui limitent son périmètre de marche confortable à trente minutes selon la correspondance médicale du 30 janvier 2007, cela ne signifie pas encore que cela la contraigne à se déplacer en voiture plutôt qu’en empruntant les transports publics, moins onéreux. Aucune attestation médicale sur ce point n'a en effet été produite. Dans ce contexte, les juges de l'appel n'ont pas fait preuve d'arbitraire en écartant pour les deux parties le poste des déplacements professionnels. On relèvera par surabondance que, même en tenant compte du montant de 576 fr. allégué par la recourante, la solution retenue par le tribunal d'arrondissement ne serait pas entachée d'arbitraire dans son résultat (cf. infra, c. 4f). f) Au vu de ce qui précède, il convient d'ajouter aux charges incompressibles de la recourante retenues par les juges de l'appel, soit 3'713 fr. 90, les montants de 245 fr. pour les frais de chauffage et de 140 fr. pour les frais d'assurance-maladie supplémentaires. Même en incluant en sus les sommes de 150 fr. à titre de minimum vital pour débiteur monoparental et de 576 fr. pour les frais de transport allégués, les charges incompressibles de la recourante s'élèveraient à 4'824 fr. 90. Si son revenu mensuel net est de 4'445 fr., les juges de l'appel ont fixé la contribution pour l'entretien des enfants au montant arrondi de 3'000 fr., tout en admettant que celle-ci pourrait être fixée à 2'520 francs. Il subsiste donc une réserve de 480 francs. Ainsi, les charges incompressibles de la recourante, chiffrables au maximum à 4'824 fr. 90, sont couvertes par le revenu mensuel de 4'445 fr. qu'elle réalise et la réserve de 480 fr. faite sur la contribution d'entretien due aux enfants. L'arrêt sur appel entrepris n'apparaît ainsi pas arbitraire dans son résultat et les éléments invoqués par la recourante, en tant qu'ils sont justifiés, ne sont pas susceptibles d'influer sur cet arrêt. g) Au surplus, la recourante invoque divers griefs, savoir l'absence de prise en compte de sa contribution à l’entretien de ses enfants majeurs, l'exercice peu fréquent du droit de visite de l'intimé sur ceux-ci, et son défaut d’autonomie financière au vu des difficultés qu'elle rencontre à trouver une activité à plein temps ou à un taux d'occupation supérieur à 50%. Ces moyens ne relèvent pas d’une appréciation arbitraire des preuves, mais, le cas échéant, de l’application du droit matériel, grief irrecevable dans le cadre du présent recours en nullité. 5. En conclusion, le recours doit être rejeté et l'arrêt sur appel maintenu. Les frais de deuxième instance de la recourante sont arrêtés à 800 fr. (art. 233 al. 2 TFJC [tarif du 4 décembre 1984 des frais judiciaires en matière civile, RSV 270.11.5]). Obtenant gain de cause, l'intimé a droit à des dépens pour la procédure devant la cour de céans, fixés à 1'500 francs. Par ces motifs, la Chambre des recours du Tribunal cantonal, statuant à huis clos, prononce : I. Le recours est rejeté. II. L'arrêt sur appel est maintenu. III. Les frais de la recourante sont arrêtés à 800 fr. (huit cents francs). IV. La recourante G.________ doit verser à l'intimé A.W.________ la somme de 1'500 fr. (mille cinq cents francs) à titre de dépens pour la procédure devant la Chambre des recours. V. L'arrêt motivé est exécutoire. Le président :               La greffière : Du 17 janvier 2011 Le dispositif de l'arrêt qui précède est communiqué par écrit aux intéressés. La greffière : Du L'arrêt qui précède, dont la rédaction a été approuvée à huis clos, est notifié en expédition complète, par l'envoi de photocopies, à : ‑ Me Mireille Loroch (pour G.________), ‑ Me Rémi Bonnard (pour A.W.________).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 Mme la Présidente de la IIe Cour de droit civil du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