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701 vom 19. Oktober 2010</w:t>
      </w:r>
    </w:p>
    <w:p>
      <w:r>
        <w:t>VD Tribunal cantonal, 2010-10-19, FR</w:t>
      </w:r>
    </w:p>
    <w:p>
      <w:r>
        <w:rPr>
          <w:b/>
        </w:rPr>
        <w:t xml:space="preserve">Quelle: </w:t>
      </w:r>
      <w:r>
        <w:t>https://mcp.opencaselaw.ch/entscheid/vd_findinfo_HC___2010___701</w:t>
      </w:r>
    </w:p>
    <w:p>
      <w:r>
        <w:t>FR: VD_FINDINFO HC / 2010 / 701 du 19 octobre 2010</w:t>
      </w:r>
    </w:p>
    <w:p>
      <w:r>
        <w:t>IT: VD_FINDINFO HC / 2010 / 701 del 19 ottobre 2010</w:t>
      </w:r>
    </w:p>
    <w:p>
      <w:pPr>
        <w:pStyle w:val="Heading2"/>
      </w:pPr>
      <w:r>
        <w:t>Regeste</w:t>
      </w:r>
    </w:p>
    <w:p>
      <w:r>
        <w:t>IN DUBIO PRO REO, CAS DE SÉQUESTRE | 70 CP, 411 let. g CPP, 411 let. i CPP</w:t>
      </w:r>
    </w:p>
    <w:p>
      <w:pPr>
        <w:pStyle w:val="Heading2"/>
      </w:pPr>
      <w:r>
        <w:t>Erwägungen</w:t>
      </w:r>
    </w:p>
    <w:p>
      <w:r>
        <w:rPr>
          <w:b/>
        </w:rPr>
        <w:t>E. 1</w:t>
      </w:r>
    </w:p>
    <w:p>
      <w:r>
        <w:t>Le recourant a pris des conclusions tant en nullité qu'en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Bovay/Dupuis/Monnier/ Moreillon/Piguet, Procédure pénale vaudoise, Code annoté, 3ème éd., Bâle 2008, n.</w:t>
      </w:r>
    </w:p>
    <w:p>
      <w:r>
        <w:rPr>
          <w:b/>
        </w:rPr>
        <w:t>E. 1.4</w:t>
      </w:r>
    </w:p>
    <w:p>
      <w:r>
        <w:t>ad art. 411 CPP [Code de procédure pénale du 12 septembre 1967, RSV 312.01]). En l’occurrence, il convient d’examiner en premier lieu les moyens de nullité, ces derniers pouvant faire apparaître des irrégularités propres à influer sur la décision attaquée, éventualité qui n'est plus examinée dans le cadre du recours en réforme.</w:t>
      </w:r>
    </w:p>
    <w:p>
      <w:r>
        <w:rPr>
          <w:b/>
        </w:rPr>
        <w:t>E. 2</w:t>
      </w:r>
    </w:p>
    <w:p>
      <w:r>
        <w:t>Le recourant soutient que les premiers juges ont ignoré de manière flagrante le principe de la présomption d'innocence et qu'ils l'ont condamné en procédant à une appréciation arbitraire des preuves. Il affirme qu'il y a erreur sur la personne et qu'il n'a pas participé aux transactions du 12 octobre et du 1 er décembre 2009. Il relève enfin que le tribunal n'a pas entendu un témoin – selon lui important - et n'a pas fait verser les auditions de deux témoins au dossier. Il se prévaut ainsi des moyens de nullité de l'art. 411 let. g et i CPP.</w:t>
      </w:r>
    </w:p>
    <w:p>
      <w:r>
        <w:rPr>
          <w:b/>
        </w:rPr>
        <w:t>E. 2.1</w:t>
      </w:r>
    </w:p>
    <w:p>
      <w:r>
        <w:t>En procédure vaudoise, le principe in dubio pro reo est considéré comme un moyen de nullité et non plus de réforme (JT 2007 III 82 s.; CCASS, 11 juillet 2006, n° 256; 4 janvier 2006, n° 75; 13 janvier 2005, n° 18;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les premiers juges (JT 1983 III 91).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CCASS, 8 mai 1998, n° 177; ATF 120 Ia 31, c. 2c, SJ 1994, p. 541; Corboz, In dubio pro reo, in RJB 1993, pp. 415 à 420). Le principe in dubio pro reo se confond avec l’interdiction générale de l’arbitraire, prohibant une appréciation reposant sur des preuves inadéquates ou sans pertinence (Bovay et alii, op. cit., n. 11.4 ad art. 411 CPP; Besse-Matile/ Abravanel, op. cit., spéc. p. 102).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spéc. pp. 422 s.; Arzt, In dubio pro reo vor Bundesgericht, in RJB 1993, pp. 1 ss, spéc. p. 21, n. 5).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soit à violer ce principe. Toutefois, pour savoir si tel est le cas, il faut d'abord examiner à titre de question préalable si l'appréciation des preuves a été arbitraire à l'effet de méconnaître un doute sérieux et irréductible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(cf. not. ATF 132 III 209, c. 2.1; ATF 129 I 49, c. 4; ATF 128 II 259, c. 5; ATF 101 Ia 298; TF, 13 octobre 1994, ad CCASS, 30 mai 1994).</w:t>
      </w:r>
    </w:p>
    <w:p>
      <w:r>
        <w:rPr>
          <w:b/>
        </w:rPr>
        <w:t>E. 2.2</w:t>
      </w:r>
    </w:p>
    <w:p>
      <w:r>
        <w:t>Concernant le moyen de nullité de l’art. 411 let. i CPP,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précité). Tel n’est pas le cas lorsque le premier juge n’a méconnu aucun des éléments de l’instruction et que, pour fixer le point litigieux, on ne peut que s’en référer à son appréciation (JT 2003 III 70 c. 2a; Bovay et alii,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thèse de l’appréciation des faits et des témoignages (JT 2003 III 70, précité, c. 2b; ATF 126 I 168 c. 3a; ATF 125 I 166 c. 2a; Bersier, op. cit., pp. 83 et 91).</w:t>
      </w:r>
    </w:p>
    <w:p>
      <w:r>
        <w:rPr>
          <w:b/>
        </w:rPr>
        <w:t>E. 2.3</w:t>
      </w:r>
    </w:p>
    <w:p>
      <w:r>
        <w:t>En l'espèce, le recourant affirme qu'il y a erreur sur la personne, niant toute implication dans les transactions des 12 octobre et 1 er décembre 2009. Les premiers juges sont parvenus à la conviction contraire. Leur conviction se fonde sur l'exploitation des écoutes téléphoniques et sur des témoignages, qui leur permettaient, sans arbitraire, de retenir que C.________ était impliqué dans les transactions du 12 octobre et du 1 er décembre 2009. Ainsi, contrairement à ce que prétend le recourant (recours p. 5), tous les contrôles démontrent qu'il était connu sous le pseudonyme de [...], ce qui permet, par l'exploitation des téléphones portables, de tracer les liens entre l'intéressé et les autres trafiquants de drogue (jgt p. 9). Les premiers juges ont également tenu compte du fait que, tant durant l'instruction qu'à l'audience, O.________, a reconnu l'accusé et a confirmé l'implication de ce dernier dans la transaction du 1 er décembre 2009. Ces déclarations sont également corroborées par les contrôles téléphoniques des téléphones cellulaires de C.________, de Z.________, de O.________ et de la mule, U.________. Bien que ce dernier ait mis hors de cause l'accusé, affirmant que son seul contact pour livrer la drogue en décembre 2009 était O.________, cette version est formellement contredite par les contrôles téléphoniques qui attestent d'un contact entre l'accusé et la mule, dans le but d'organiser la livraison de la drogue transportée. Enfin, lors de son audition par la police de la sûreté, I.________ a affirmé que l'accusé avait quitté l'appartement le 1 er décembre 2009 entre 10h et 12h avec une somme d'argent prise dans une valise qui contenait</w:t>
      </w:r>
    </w:p>
    <w:p>
      <w:r>
        <w:rPr>
          <w:b/>
        </w:rPr>
        <w:t>E. 2.4</w:t>
      </w:r>
    </w:p>
    <w:p>
      <w:r>
        <w:t>Quant au grief fait par le recourant aux premiers juges de n'avoir pas entendu un témoin important, selon lui, ou de n'avoir pas fait verser les auditions de deux autres témoins au dossier, il est irrecevable. En effet, selon la jurisprudence fédérale, le principe de la bonne foi oblige celui qui constate un prétendu vice de procédure à le signaler immédiatement, à un moment où il pourrait encore être corrigé, et lui interdit d'attendre en restant passif afin de pouvoir s'en prévaloir ultérieurement devant l'autorité de recours (TF 6B_61/2010 du 27 juillet.2010 c. 1.2; ATF 119 Ia 221 c. 5a). En l'occurrence, le recourant n'a jamais requis dans le délai de l'art. 320 CPP, ou par voie incidente, l'audition de ce témoin ou le versement des procès-verbaux d'audition au dossier. Les griefs soulevés dans le cadre d'un recours en nullité sont dès lors écartés et le recours doit être rejeté. 3. Subsidiairement, C.________ recourt en réforme, soutenant que faute d'avoir pu établir un lien de causalité entre une infraction et l'argent séquestré sous n° 1676 (7'739 fr. 80 et 1'626 fr. 20) et sous n° 1618 (13'265 fr.), les premiers juges devaient lever les séquestres. Il explique que le tribunal a admis que - faute de preuve suffisante - on ne pouvait l'accuser de blanchiment d'argent et que partant, l'origine délictuelle de l'argent séquestré relevait d'une simple supposition des premiers juges. Par là, le recourant se prévaut d'une violation de l'art. 70 CP (Code pénal suisse du 21 décembre 1937; RS 311.0). 3.1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pp. 70 s.). En revanche, elle examine librement les questions de droit sans être limitée aux moyens invoqués (art. 447 al. 1 CPP). Elle ne peut cependant aller au-delà des conclusions du recourant (art. 447 al. 2 CPP).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Ainsi, une confiscation n'est possible que lorsque les valeurs patrimoniales qui sont le résultat d'une infraction ne doivent pas être restituées aux personnes lésées en rétablissement de leurs droits. Les prétentions du lésé prévalent donc sur l'intérêt étatique à confisquer (Hirsig-Vouilloz, Commentaire Romand, CP I, Bâle 2009, n. 24 ad art. 70 CP). La confiscation de valeurs patrimoniales n'est ni une sanction, ni une mesure à caractère personnel mais une mesure à caractère réel, totalement indépendante de la punissabilité de l'auteur ou de la culpabilité du détenteur de valeurs. Elle doit être prononcée quel que soit le possesseur actuel des valeurs patrimoniales assujetties, qu'il soit ou non concerné par le contexte délictueux (FF III 300; ATF 115 IV 175, JT 1991 IV 37). Pour que des valeurs patrimoniales puissent être confisquées, il doit en outre exister, entre l'infraction et son produit, un lien de causalité tel que le second apparaît comme la conséquence directe et immédiate de la première (SJ 1999 417). 3.2 En l'occurrence, l'argumentation du recourant, selon laquelle l'argent séquestré proviendrait de son commerce d'habits en Suisse, est vaine, ne serait-ce que parce que, ce faisant, il s'écarte des faits que le tribunal a retenus. En effet, les premiers juges ont conclu que le recourant n'avait jamais eu d'activité licite en Suisse et que l'argent séquestré avait une origine délictuelle (jgt p. 18, c. 8), la cour de céans étant liée par cette constatation. Au sujet du séquestre n° 1676, on remarquera, au surplus, que les explications du recourant sur son prétendu commerce d'habits sont contredites par le témoignage de I.________ à l'audience et par les contrôles téléphoniques effectués durant l'enquête policière, qui attestent de son activité délictueuse. Si la phrase du tribunal selon laquelle " on peut supposer que cet argent provient d'une activité délictueuse " est malheureuse, on comprend cependant qu'elle se rapporte, dans le contexte, à l'accusation de blanchiment d'argent uniquement. Par ailleurs, le fait que C.________ n'ait pas été condamné pour blanchiment d'argent ou pour infraction à la LStup n'empêchait pas le tribunal d'ordonner la confiscation de l'argent en considérant qu'il ne pouvait que provenir d'une activité illicite, étant rappelé que sur ce point, la confiscation s'ordonne alors même qu'aucune personne n'est punissable (Favre, Pellet, Stoudmann, Code pénal annoté, 3 ème éd. Lausanne 2007, n. 1.1 ad. art. 70 CP). Pour ce qui est de la confiscation du montant sous séquestre n° 1618, la somme a été retrouvée au domicile du recourant à Viège alors qu'il était en plein trafic, de sorte qu'on ne peut douter de son origine illicite. Mal fondé, le moyen doit donc être rejeté. Le recourant ne faisant pas valoir d'autres moyens, le recours en réforme est rejeté. 4. En définitive, aucun des moyens invoqués par C.________ n’est retenu. Son recours ne peut dès lors qu’être rejeté en application de l’art. 431 al. 2 CPP et le jugement confirmé, les frais de deuxième instance, y compris l’indemnité allouée à son défenseur d’office par 774 fr. 70 TVA comprise, étant mis à sa charge (art. 450 al. 1 CPP). Le remboursement à l’Etat de cette indemnité sera exigible pour autant que la situation économique de l’intéressé se soit améliorée.</w:t>
      </w:r>
    </w:p>
    <w:p>
      <w:r>
        <w:rPr>
          <w:b/>
        </w:rPr>
        <w:t>E. 6</w:t>
      </w:r>
    </w:p>
    <w:p>
      <w:r>
        <w:t>billets de 100 fr. et 17 billets de 500 Euros. Fondé sur l'ensemble de ces éléments, le tribunal pouvait démontrer sans arbitraire l'implication de C.________ dans les transactions du 12 octobre et du 1 er décembre 2009, le doute sur la personne du recourant n'étant pas permis. Le recourant ne fait qu’opposer sa propre version des faits en se référant à des éléments externes au dossier. Ce moyen, purement appellatoire,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