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695 vom 14. Oktober 2010</w:t>
      </w:r>
    </w:p>
    <w:p>
      <w:r>
        <w:t>VD Tribunal cantonal, 2010-10-14, FR</w:t>
      </w:r>
    </w:p>
    <w:p>
      <w:r>
        <w:rPr>
          <w:b/>
        </w:rPr>
        <w:t xml:space="preserve">Quelle: </w:t>
      </w:r>
      <w:r>
        <w:t>https://mcp.opencaselaw.ch/entscheid/vd_findinfo_HC___2010___695</w:t>
      </w:r>
    </w:p>
    <w:p>
      <w:r>
        <w:t>FR: VD_FINDINFO HC / 2010 / 695 du 14 octobre 2010</w:t>
      </w:r>
    </w:p>
    <w:p>
      <w:r>
        <w:t>IT: VD_FINDINFO HC / 2010 / 695 del 14 ottobre 2010</w:t>
      </w:r>
    </w:p>
    <w:p>
      <w:pPr>
        <w:pStyle w:val="Heading2"/>
      </w:pPr>
      <w:r>
        <w:t>Regeste</w:t>
      </w:r>
    </w:p>
    <w:p>
      <w:r>
        <w:t>EXCÈS DE VITESSE, INTERDICTION DE L'ARBITRAIRE, APPRÉCIATION DES PREUVES | 433a CPP, 439 CPP, 90 ch. 2 LCR</w:t>
      </w:r>
    </w:p>
    <w:p>
      <w:pPr>
        <w:pStyle w:val="Heading2"/>
      </w:pPr>
      <w:r>
        <w:t>Erwägungen</w:t>
      </w:r>
    </w:p>
    <w:p>
      <w:r>
        <w:rPr>
          <w:b/>
        </w:rPr>
        <w:t>E. 1</w:t>
      </w:r>
    </w:p>
    <w:p>
      <w:r>
        <w:t>Selon l'art. 425 CPP (Code de procédure pénale du 12 septembre 1967, RSV 312.01), le recourant adresse au tribunal qui a statué un mémoire motivé, dans les dix jours dès réception de la copie du jugement. Ce mémoire contient la désignation du jugement attaqué, les conclusions en réforme ou en nullité, les motifs à l'appui de ces conclusions et, le cas échéant, les mesures d'instruction requises en application de l'art. 433a CPP. L'énoncé des moyens de recours est, avec les conclusions, l'élément central du mémoire. En ce qui concerne les moyens de réforme, il faut que la juridiction de recours – même si elle examine librement les questions de droit sans être limitée aux moyens que la partie invoque (art. 447 al. 1 CPP) – sache ou au moins puisse déterminer sur quel point le jugement est critiqué, quelle est la violation de la loi alléguée et en quoi elle consiste, ce qui n'impose pas forcément qu'il soit fait référence expresse à une disposition légale. S'agissant des moyens de nullité, les exigences sont plus strictes. La mention de la disposition légale invoquée n'est pas une condition nécessaire, mais elle n'est pas non plus suffisante à elle seule. La lecture du mémoire doit permettre à la Cour de cassation de savoir quelle irrégularité le recourant met en cause. Cela signifie que le recourant indique non seulement la norme qui a été violée et le moyen de l'art. 411 CPP au regard duquel il se prévaut d'une irrégularité mais aussi qu'il désigne sur quel point du jugement, ou sur quel passage précis de l'état de fait, cette irrégularité opère; il doit décrire les raisons pour lesquelles il estime qu'un cas de nullité est réalisé et en quoi il consiste. Mais un moyen peut être reçu si l'on comprend de quel principe le recourant invoque la violation, quoi qu'il ne dise pas expressément de quel cas de nullité il se réclame. De même, des conclusions implicites peuvent suffire dans la mesure où la modification du jugement souhaitée ressort des moyens invoqués (cf. sur toutes ces questions, Bersier, Le recours à la Cour de cassation pénale du Tribunal cantonal en procédure vaudoise, in JT 1996 III 66, spéc. pp. 90 ss).</w:t>
      </w:r>
    </w:p>
    <w:p>
      <w:r>
        <w:rPr>
          <w:b/>
        </w:rPr>
        <w:t>E. 2</w:t>
      </w:r>
    </w:p>
    <w:p>
      <w:r>
        <w:t>En l'espèce, N.________ n'indique pas le moyen de nullité dont il souhaite se prévaloir, ni pour quels motifs. Son argumentation est purement appellatoire, partant son recours est irrecevable. On pourrait admettre cependant qu'en utilisant le terme "arbitraire" dans son mémoire, le recourant soulève implicitement le moyen tiré de l'art. 411 let. i CPP, lequel revient en définitive à examiner si l'appréciation des preuves opérée par les premiers juges est ou non arbitraire.</w:t>
      </w:r>
    </w:p>
    <w:p>
      <w:r>
        <w:rPr>
          <w:b/>
        </w:rPr>
        <w:t>E. 2.1</w:t>
      </w:r>
    </w:p>
    <w:p>
      <w:r>
        <w:t>Selon l'art. 411 let. i CPP, le recours en nullité est ouvert s’il existe des doutes sur l’existence des faits admis et importants pour le jugement de la cause. L'existence d'un doute sur un fait au sens de cette disposition se confond avec la mise en cause d'une appréciation arbitraire des preuves qui s'y rapportent (Bersier, op. cit., p. 83). Une constatation de fait n'est pas arbitraire pour la seule raison que la version retenue par le juge ne coïncide pas avec celle de l’accusé ; encore faut-il que l'appréciation des preuves soit manifestement insoutenable, en contradiction flagrante avec la situation effective, qu'elle repose sur une inadvertance manifeste, ou encore qu'elle heurte de façon grossière le sentiment de la justice et de l'équité (ATF 134 V 53 c. 4.3). Il incombe au recourant de démontrer le caractère arbitraire de l’appréciation des preuves à laquelle s’est livré le premier juge (cf. art. 425 al. 2 let. c CPP). Un léger doute, un doute théorique ou encore abstrait ne suffit pas à entraîner l'annulation du jugement. Seul un doute concret, d'une certaine consistance, en d'autres termes un doute raisonnable, peut conduire à cette sanction. Tel n'est pas le cas lorsque le premier juge n'a méconnu aucun des éléments de l'instruction et que, pour fixer le point litigieux, on ne peut que s'en référer à son appréciation (Bovay/Dupuis/Monnier/Moreillon/Piguet, Procédure pénale vaudoise, Code annoté, 3 ème éd., Bâle 2008, n. 11.3 et 11.6 ad art. 411 CPP et les références citées). Il ne suffit pas non plus qu'une solution différente puisse être tenue pour également concevable, ou apparaisse même préférable (ATF 135 V 2 c. 1.3 et les références citées; TF 6B_870/2009 du 18 mars 2010, c. 1 et les références citées ; JT 2003 III 70, c. 2a et 2b).</w:t>
      </w:r>
    </w:p>
    <w:p>
      <w:r>
        <w:rPr>
          <w:b/>
        </w:rPr>
        <w:t>E. 2.2</w:t>
      </w:r>
    </w:p>
    <w:p>
      <w:r>
        <w:t>En l'occurrence, N.________ reproche aux premiers juges de s'en être remis aux allégations des gendarmes Z.________ et X.________ alors même que ces derniers se trouvaient dans un véhicule qui n'était pas équipé de tachygraphe. Il ajoute que la distance sur laquelle les gendarmes l'ont suivi n'a jamais pu être établie. Partant, le recourant reproche aux premiers juges d'avoir arrêté sa vitesse à au moins 200 km/h sur la base de l'appréciation visuelle des gendarmes et sur le ressenti du passager G.________. La cour de céans considère que, dans le cas d'espèce, des calculs ou des mesures précis étaient vains puisque la voiture de police roulant à la limite de ses capacités n'est pas même parvenue à suivre le véhicule du recourant. Il n'y a rien d'arbitraire, dans une telle situation, à se fier à l'appréciation et aux constatations des dénonciateurs pour estimer une vitesse. A cet égard, la jurisprudence fédérale retient qu'il est conforme à la présomption d'innocence de retenir l'existence d'un excès de vitesse sur la base du seul témoignage de policiers embarqués dans un véhicule suiveur démuni de tous moyens de contrôle et/ou d'enregistrement, moyennant toutefois une déduction substantielle afin de tenir compte de l'imprécision liée à la méthode utilisée (TF 1P.90/2006 c. 3.2, du 13 avril 2006). C'est bien ce qu'ont fait les premiers juges et le raisonnement opéré n'est pas arbitraire. La vitesse finalement retenue de 200 km/h est même favorable au recourant au vu des éléments à disposition. En conséquence, le recours, à supposer recevable, serait mal fondé et devrait être rejeté.</w:t>
      </w:r>
    </w:p>
    <w:p>
      <w:r>
        <w:rPr>
          <w:b/>
        </w:rPr>
        <w:t>E. 3</w:t>
      </w:r>
    </w:p>
    <w:p>
      <w:r>
        <w:t>N.________, s'il ne conteste ni l'application de l'art. 91a LCR, ni la quotité du jour-amende ou la révocation du sursis qui lui a été accordé en 2008, réfute cependant la qualification de violation grave des règles de la circulation routière au sens de l'art. 90 ch. 2 LCR (Loi fédérale sur la circulation routière du 19 décembre 1958; RS 741.01). Il demande à être condamné à une peine plus légère entièrement compatible avec le sursis.</w:t>
      </w:r>
    </w:p>
    <w:p>
      <w:r>
        <w:rPr>
          <w:b/>
        </w:rPr>
        <w:t>E. 3.1</w:t>
      </w:r>
    </w:p>
    <w:p>
      <w:r>
        <w:t>L'infraction réprimée par l’art. 90 ch. 2 LCR est objectivement réalisée lorsque l'auteur viole grossièrement une règle fondamentale de la circulation et met ainsi sérieusement en danger la sécurité d'autrui, une mise en danger abstraite accrue étant à cet égard suffisante. Subjectivement, l'infraction suppose un comportement sans scrupules ou gravement contraire aux règles de la circulation. Cette condition est toujours réalisée si l'auteur est conscient du danger que représente sa manière de conduire, mais peut aussi l'être s'il ne tient absolument pas compte du fait qu'il met autrui en danger. Dans cette dernière hypothèse, l'existence d'une négligence grossière ne doit toutefois être admise qu'avec retenue (ATF 131 IV 133 c. 3.2 et les arrêts cités). La qualification de cas grave au sens de l'art. 90 ch. 2 LCR correspond à celle de l'ancien art. 16 al. 3 let. a LCR, respectivement de l'art. 16c al. 1 let. a LCR (ATF 132 II 234 c. 3 ; TF 6B_1028/2008 du 16 avril 2009 c. 2). Dans le domaine des excès de vitesse, la jurisprudence a été amenée à fixer des règles précises afin d’assurer l’égalité de traitement. Ainsi, lorsque, comme en l’espèce, l’excès de vitesse a été commis hors localité, le cas est objectivement grave, c’est-à-dire sans égard aux circonstances concrètes, si la vitesse maximale autorisée, en l’occurrence 120 km/h, est dépassée de 30 km/h ou plus (ATF 124 II 259 c. 2b). En l'espèce, on constate, avec les premiers juges, que même en tenant compte d'une marge de 15% sur la base d'une vitesse de 200 km/h, l'accusé a circulé à une vitesse de 170 km/h, soit de 50 km/h supérieur au maximum autorisé. Un tel dépassement constitue une violation grave des règles de la circulation routière au sens de l'art. 90 ch. 2 LCR, d'autant plus que l'accusé n'a pas prêté attention à la signalisation diminuant la vitesse maximale de 120 km/h à 80 km/h.</w:t>
      </w:r>
    </w:p>
    <w:p>
      <w:r>
        <w:rPr>
          <w:b/>
        </w:rPr>
        <w:t>E. 3.2</w:t>
      </w:r>
    </w:p>
    <w:p>
      <w:r>
        <w:t>Le recourant a été condamné à une peine pécuniaire de 180 jours-amende, à 190 fr. le jour, dont la moitié avec sursis pendant cinq ans. Il ne conteste pas la quotité du jour-amende. Pour le surplus, la Cour de cassation ne peut revoir la quotité de la peine que sous l'angle de l'arbitraire. Or, au regard du casier judiciaire du recourant et du fichier ADMAS faisant état de six retraits de permis en moins de dix ans, pour ébriété et vitesse excessive, il n'y a pas lieu de conclure que la peine est arbitrairement sévère. Il est également à relever que les faits de la présente cause ne sont survenus que cinq mois après que N.________ eut récupéré son permis de conduire ensuite d'un retrait de permis d'une année. Ces éléments permettent de conclure que le recourant n'est pas disposé à s'amender facilement. Pour les raisons mentionnées par les premiers juges et au vu de ce qui précède, le pronostic est assez nettement défavorable, le recourant démontrant par son attitude sur la route et dans le cadre de l'affaire pénale qu'il ne tire aucun enseignement des condamnations précédentes et que le risque de récidive est évident. La cour de céans rappelle à N.________ que ce type de comportement peut conduire à des peines privatives de liberté ferme (TF 6B_53/2010 du 22 avril 2010). On ajoute enfin que le recourant voit le sursis qui lui avait été accordé par le juge d'instruction valaisan en 2008 révoqué, ce qu'il ne conteste d'ailleurs pas. Au surplus, la conclusion V du recourant ne permet pas à la cour de céans de revoir la question du sursis, N.________ se bornant à demander une peine dont la quotité est compatible avec le sursis; il ne conclut pas formellement à l'octroi du sursis et la violation des art. 42 et 43 CP (Code pénal suisse du 21 décembre 1937, RS 311.0) n'est même pas alléguée. Compte tenu de l'ensemble de ces éléments, la conclusion tendant à une réduction de la peine doit être rejetée.</w:t>
      </w:r>
    </w:p>
    <w:p>
      <w:r>
        <w:rPr>
          <w:b/>
        </w:rPr>
        <w:t>E. 4</w:t>
      </w:r>
    </w:p>
    <w:p>
      <w:r>
        <w:t>En définitive, dans la mesure où le recours est recevable, aucun des moyens invoqués par N.________ n’est retenu. Il ne peut dès lors qu’être rejeté en application de l’art. 431 al. 2 CPP et le jugement confirmé, les frais de deuxième instance étant mis à sa charge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