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682 vom 22. Dezember 2010</w:t>
      </w:r>
    </w:p>
    <w:p>
      <w:r>
        <w:t>VD Tribunal cantonal, 2010-12-22, FR</w:t>
      </w:r>
    </w:p>
    <w:p>
      <w:r>
        <w:rPr>
          <w:b/>
        </w:rPr>
        <w:t xml:space="preserve">Quelle: </w:t>
      </w:r>
      <w:r>
        <w:t>https://mcp.opencaselaw.ch/entscheid/vd_findinfo_HC___2010___682</w:t>
      </w:r>
    </w:p>
    <w:p>
      <w:r>
        <w:t>FR: VD_FINDINFO HC / 2010 / 682 du 22 décembre 2010</w:t>
      </w:r>
    </w:p>
    <w:p>
      <w:r>
        <w:t>IT: VD_FINDINFO HC / 2010 / 682 del 22 dicembre 2010</w:t>
      </w:r>
    </w:p>
    <w:p>
      <w:pPr>
        <w:pStyle w:val="Heading2"/>
      </w:pPr>
      <w:r>
        <w:t>Regeste</w:t>
      </w:r>
    </w:p>
    <w:p>
      <w:r>
        <w:t>MESURE PROVISIONNELLE, COMMUNICATION AVEC LE DÉFENSEUR, VISITE, DROIT D'ÊTRE ENTENDU, APPRÉCIATION DES PREUVES, INTERDICTION DE L'ARBITRAIRE, MOTIVATION DE LA DÉCISION | 111 CPC, 3 CPC, 444 al. 1 ch. 3 CPC, 29 al. 2 Cst.</w:t>
      </w:r>
    </w:p>
    <w:p>
      <w:pPr>
        <w:pStyle w:val="Heading2"/>
      </w:pPr>
      <w:r>
        <w:t>Erwägungen</w:t>
      </w:r>
    </w:p>
    <w:p>
      <w:r>
        <w:rPr>
          <w:b/>
        </w:rPr>
        <w:t>E. 1</w:t>
      </w:r>
    </w:p>
    <w:p>
      <w:r>
        <w:t>L'ordonnance attaquée a été rendue par un président de tribunal d'arrondissement dans le cadre d'une action en modification de jugement de divorce qui, sur le fond, relève de la compétence présidentielle (art. 376 al. 2 CPC-VD [Code de procédure civile vaudois du 14 décembre 1966; RSV 270.11]; art. 4 ch. 16 LVCC [loi du 30 novembre 1910 d'introduction dans le Canton de Vaud du Code civil suisse; RSV 211.01]).</w:t>
      </w:r>
    </w:p>
    <w:p>
      <w:r>
        <w:rPr>
          <w:b/>
        </w:rPr>
        <w:t>E. 2</w:t>
      </w:r>
    </w:p>
    <w:p>
      <w:r>
        <w:t>a) Selon la jurisprudence de la cour de céans, l'ordonnance de mesures provisionnelles rendue par un président de tribunal d'arrondissement dans une cause qui relève de la compétence de celui-ci ne peut faire l'objet d'un recours en réforme, ni d'un appel (art. 111 al. 3 CPC-VD), seule la voie du recours en nullité pour les motifs généraux de l'art. 444 al. 1 CPC-VD étant ouverte (JT 1999 III 15; JT 1996 III 59; JT 1995 III 120; Poudret/Haldy/Tappy, Procédure civile vaudoise, 3 ème éd., 2002, n. 1  ad art. 108 CPC-VD, p. 217; Tappy, Quelques aspects de la procédure de mesures provisionnelles, spécialement en matière matrimonial, in JT 1994 III 34, spéc. pp. 54-55 et références). En l'espèce, le recours tend exclusivement à la nullité de l'ordonnance. Déposé en temps utile (art. 458 CPC-VD), par une partie qui y a intérêt, il est recevable (art. 461 CPC-VD). b) Saisie d'un recours en nullité, la Chambre des recours n'examine que les moyens dûment développés, l'énonciation séparée des moyens de nullité étant une condition de recevabilité du recours en nullité (Poudret/Haldy/Tappy, op. cit., n. 2 ad art. 465 CPC-VD, p. 722).</w:t>
      </w:r>
    </w:p>
    <w:p>
      <w:r>
        <w:rPr>
          <w:b/>
        </w:rPr>
        <w:t>E. 3</w:t>
      </w:r>
    </w:p>
    <w:p>
      <w:r>
        <w:t>CPC-VD lorsque le recours en réforme n'est pas ouvert, comme en l'espèce (Poudret/Haldy/Tappy, op. cit., n. 4 ad art. 3 CPC-VD, p. 15). Selon l'art. 3 CPC-VD, le juge est lié par les conclusions des parties. Toutefois cette disposition est inapplicable lorsque sont litigieuses, comme en l'espèce, des contributions en faveur des enfants, qui sont régies par la maxime d'office. Dans un tel cas, le juge n'est pas lié par les conclusions des parties, qui ne constituent que des propositions (ATF 128 III 411 et réf.). Le moyen est infondé et doit être rejeté.</w:t>
      </w:r>
    </w:p>
    <w:p>
      <w:r>
        <w:rPr>
          <w:b/>
        </w:rPr>
        <w:t>E. 4</w:t>
      </w:r>
    </w:p>
    <w:p>
      <w:r>
        <w:t>La recourante invoque une motivation insuffisante.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de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En l'espèce, l'ordonnance est suffisamment motivée pour permettre à la recourante de l'attaquer sur des points précis. En réalité, sous couvert de motivation insuffisante, la recourante fait valoir qu'il n'existe aucune explication convaincante justifiant la différence de traitement avec la pension que doit payer l'intimé pour son troisième enfant (soit la fille qu'il a eue le 1 er mai 2008 avec sa compagne). Un tel grief est relatif à l'application du droit matériel et est irrecevable en nullité.</w:t>
      </w:r>
    </w:p>
    <w:p>
      <w:r>
        <w:rPr>
          <w:b/>
        </w:rPr>
        <w:t>E. 5</w:t>
      </w:r>
    </w:p>
    <w:p>
      <w:r>
        <w:t>La recourante reproche encore au premier juge d'avoir procédé à une appréciation arbitraire des preuves.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(loi du 17 juin 2005 sur le Tribunal fédéral; RS 173.110) n'impose pas actuellement à la Chambre des recours d'étendre son pouvoir d'examen (art. 111 al. 3 et 130 al. 2 LTF; Tappy, in RSPC 1/2007 99,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 Sous le couvert de l'appréciation arbitraire des preuves, la recourante soutient à nouveau que le traitement des deux enfants du premier lit (soit ceux de la recourante et de l'intimé), à comparer avec les 710 fr. alloués au troisième enfant (soit la fille de l'intimé et de sa compagne), est arbitrairement bas. Comme déjà dit, ce grief concerne l'application du droit matériel et est irrecevable en nullité.</w:t>
      </w:r>
    </w:p>
    <w:p>
      <w:r>
        <w:rPr>
          <w:b/>
        </w:rPr>
        <w:t>E. 6</w:t>
      </w:r>
    </w:p>
    <w:p>
      <w:r>
        <w:t>En conclusion, le recours doit être rejeté, en application de l'art. 465 al. 1 CPC, et l'ordonnance de mesures provisionnelles maintenue. Les frais de deuxième instance de la recourante sont arrêtés à 300 francs. Par ces motifs, la Chambre des recours du Tribunal cantonal, statuant à huis clos, en application de l'art. 465 al. 1 CPC, prononce : I. Le recours est rejeté. II. L'ordonnance est maintenue. III. Les frais de deuxième instance de la recourante L.________ sont arrêtés à 300 fr. (trois cents francs). IV. L'arrêt motivé est exécutoire. Le président :               La greffière : Du 22 décembre 2010 Le dispositif de l'arrêt qui précède est communiqué par écrit aux intéressés. La greffière : Du L'arrêt qui précède, dont la rédaction a été approuvée à huis clos, est notifié en expédition complète, par l'envoi de photocopies, à : ‑ Me Renaud Lattion (pour L.________), ‑ Me Miriam Mazou (pour A.________).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