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681 vom 15. Dezember 2010</w:t>
      </w:r>
    </w:p>
    <w:p>
      <w:r>
        <w:t>VD Tribunal cantonal, 2010-12-15, FR</w:t>
      </w:r>
    </w:p>
    <w:p>
      <w:r>
        <w:rPr>
          <w:b/>
        </w:rPr>
        <w:t xml:space="preserve">Quelle: </w:t>
      </w:r>
      <w:r>
        <w:t>https://mcp.opencaselaw.ch/entscheid/vd_findinfo_HC___2010___681</w:t>
      </w:r>
    </w:p>
    <w:p>
      <w:r>
        <w:t>FR: VD_FINDINFO HC / 2010 / 681 du 15 décembre 2010</w:t>
      </w:r>
    </w:p>
    <w:p>
      <w:r>
        <w:t>IT: VD_FINDINFO HC / 2010 / 681 del 15 dicembre 2010</w:t>
      </w:r>
    </w:p>
    <w:p>
      <w:pPr>
        <w:pStyle w:val="Heading2"/>
      </w:pPr>
      <w:r>
        <w:t>Regeste</w:t>
      </w:r>
    </w:p>
    <w:p>
      <w:r>
        <w:t>DÉFENDEUR, QUALITÉ DE PARTIE, REPRÉSENTATION | 32 al. 2 CO</w:t>
      </w:r>
    </w:p>
    <w:p>
      <w:pPr>
        <w:pStyle w:val="Heading2"/>
      </w:pPr>
      <w:r>
        <w:t>Erwägungen</w:t>
      </w:r>
    </w:p>
    <w:p>
      <w:r>
        <w:rPr>
          <w:b/>
        </w:rPr>
        <w:t>E. 1</w:t>
      </w:r>
    </w:p>
    <w:p>
      <w:r>
        <w:t>La LTF (loi du 17 juin 2005 sur le Tribunal fédéral; RS 173.110) ne connaît pas de disposition équivalente à l'ancien art. 66 al. 1 OJ (loi fédérale d'organisation judiciaire du 16 décembre 1943),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II, Berne 1990, n. 1.3.2 ad art. 66 OJ, p. 598).</w:t>
      </w:r>
    </w:p>
    <w:p>
      <w:r>
        <w:rPr>
          <w:b/>
        </w:rPr>
        <w:t>E. 2</w:t>
      </w:r>
    </w:p>
    <w:p>
      <w:r>
        <w:t>En l'espèce, le Tribunal fédéral a jugé que la qualité pour défendre de la D.________ SA dans le procès au fond qui l'oppose à F.________ avait été niée à tort. Il s'ensuit que les prétentions au fond du demandeur, tendant à ce que la défenderesse soit condamnée à lui verser la somme de 47'500 fr. et à ce que l'opposition de cette dernière au commandement de payer qui lui a été notifié soit levée, doivent faire l'objet d'une instruction et d'un jugement au fond. Il convient dès lors de renvoyer la cause au Tribunal civil de l'arrondissement de l'Est vaudois afin que le Président cite les parties à une nouvelle audience préliminaire, au sens de l'art. 339 CPC (Code de procédure civile du 14 décembre 1966; RSV 270.11). Vu l'issue de l'instruction séparée de la question préalable sur la légitimation passive, les dépens de première instance doivent suivre le sort de la cause au fond (Poudret/Haldy/Tappy, Procédure civile vaudoise, 3 ème éd., Lausanne 2002, n. 7.8 ad art. 92 CPC, p. 81, et n. 3 ad art. 285 CPC, pp. 439 s.).</w:t>
      </w:r>
    </w:p>
    <w:p>
      <w:r>
        <w:rPr>
          <w:b/>
        </w:rPr>
        <w:t>E. 3</w:t>
      </w:r>
    </w:p>
    <w:p>
      <w:r>
        <w:t>En conclusion, le recours doit être admis et le jugement préjudiciel réformé dans le sens des considérants qui précèdent. Les frais de deuxième instance du recourant sont arrêtés à 775 francs (art. 232 TFJC [tarif du 4 décembre 1984 des frais judiciaires en matière civile; RSV 270.11.5]). Obtenant gain de cause, le recourant a droit à des dépens de deuxième instance (art. 91 et 92 CPC), qu'il convient d'arrêter à 2'275 fr. (art. 2 al. 1 ch. 33 et art. 3 TAv [tarif du 17 juin 1986 des honoraires d'avocat dus à titre de dépens; RSV 177.11.3]). Par ces motifs, la Chambre des recours du Tribunal cantonal, statuant à huis clos, prononce : I. Le recours est admis. II. Le jugement est réformé comme il suit : I. constate que D.________ SA a la qualité pour défendre dans le procès l'opposant à F.________. II. dit que les frais et dépens suivent le sort de la cause au fond. III. La cause est renvoyée au Tribunal civil de l'arrondissement de l'Est vaudois pour instruire et juger la cause au fond. IV. Les frais de deuxième instance du recourant sont arrêtés à 775 fr. (sept cent septante-cinq francs). V. L'intimée D.________ SA doit verser au recourant F.________ la somme de 2'275 fr. (deux mille deux cent septante-cinq francs) à titre de dépens de deuxième instance. VI. L'arrêt motivé est exécutoire. Le président :               Le greffier : Du 15 décembre 2010 Le dispositif de l'arrêt qui précède est communiqué par écrit aux intéressés. Le greffier : Du L'arrêt qui précède, dont la rédaction a été approuvée à huis clos, est notifié en expédition complète, par l'envoi de photocopies, à : ‑ Me Laure Chappaz (pour F.________), ‑ Me Laurent Etter (pour D.________ SA).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