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679 vom 18. August 2010</w:t>
      </w:r>
    </w:p>
    <w:p>
      <w:r>
        <w:t>VD Tribunal cantonal, 2010-08-18, FR</w:t>
      </w:r>
    </w:p>
    <w:p>
      <w:r>
        <w:rPr>
          <w:b/>
        </w:rPr>
        <w:t xml:space="preserve">Quelle: </w:t>
      </w:r>
      <w:r>
        <w:t>https://mcp.opencaselaw.ch/entscheid/vd_findinfo_HC___2010___679</w:t>
      </w:r>
    </w:p>
    <w:p>
      <w:r>
        <w:t>FR: VD_FINDINFO HC / 2010 / 679 du 18 août 2010</w:t>
      </w:r>
    </w:p>
    <w:p>
      <w:r>
        <w:t>IT: VD_FINDINFO HC / 2010 / 679 del 18 agosto 2010</w:t>
      </w:r>
    </w:p>
    <w:p>
      <w:pPr>
        <w:pStyle w:val="Heading2"/>
      </w:pPr>
      <w:r>
        <w:t>Regeste</w:t>
      </w:r>
    </w:p>
    <w:p>
      <w:r>
        <w:t>LIBÉRATION CONDITIONNELLE, SURSIS À L'EXÉCUTION DE LA PEINE, RISQUE DE RÉCIDIVE, RÉCIDIVE{INFRACTION} | 42 al. 2 CP, 89 al. 1 CP, 89 al. 2 CP, 411 let. g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en particulier, faire apparaître des doutes sur l’existence des faits admis et importants pour le jugement de la cause (art. 411 let. i CPP), éventualité qui n'est en principe plus examinée dans le cadre du recours en réforme.</w:t>
      </w:r>
    </w:p>
    <w:p>
      <w:r>
        <w:rPr>
          <w:b/>
        </w:rPr>
        <w:t>E. 2</w:t>
      </w:r>
    </w:p>
    <w:p>
      <w:r>
        <w:t>Excipant conjointement des let. g et i de l'art. 411 CPP, le recourant se prévaut d'une violation de la présomption d'innocence, respectivement d'une appréciation arbitraire des preuves, dans la mesure où le jugement retient qu'il avait vendu de la drogue à des consommateurs âgés de moins de 16 ans. 2.1a) 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CCASS, 30 mai 1994). b)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 cit.).</w:t>
      </w:r>
    </w:p>
    <w:p>
      <w:r>
        <w:rPr>
          <w:b/>
        </w:rPr>
        <w:t>E. 3</w:t>
      </w:r>
    </w:p>
    <w:p>
      <w:r>
        <w:t>En l'espèce, l'appréciation des premiers juges repose, pour ce qui est du chef d'accusation mis en cause sous l'angle de la nullité, d'une part sur les déclarations de trois adolescents en question faites en cours d'enquête, auxquelles le tribunal correctionnel a ajouté foi attendu que leurs auteurs n'avaient aucune raison d'accabler le recourant. Elle se fonde d'autre part sur le témoignage du fils de ce dernier, qui avait déclaré avoir vu souvent ces mêmes trois enfants ensemble fumer de l'herbe chez cet accusé. Les dépositions sur lesquelles s'est fondé le tribunal correctionnel émanent de sources distinctes et se corroborent entre elles. Pour ce qui est de leur appréciation, les trois adolescents n'avaient à l'évidence aucune raison de mettre en cause le recourant plus que quiconque, étant précisé que leurs dépositions les exposaient à des poursuites pénales indépendamment de la personne dénoncée pour leur avoir fourni du cannabis. Au surplus, dès lors que, comme le mentionne le jugement, les relations personnelles du recourant avec son fils sont favorables, on ne discerne aucun mobile possible qu'aurait eu celui-ci d'accabler celui-là. Il s'ensuit que l'appréciation des preuves à laquelle ont souverainement procédé les premiers juges échappe au grief d'arbitraire. Partant, le recours en nullité doit être rejeté. Il s'ensuit, pour la suite de l'examen des moyens du recours, qu'il doit être admis que le recourant a bien commis toutes les infractions retenues à sa charge par le jugement. Aussi bien n'y a-t-il pas lieu à revoir les faits en application de l'art. 433a al. 1 CPP.</w:t>
      </w:r>
    </w:p>
    <w:p>
      <w:r>
        <w:rPr>
          <w:b/>
        </w:rPr>
        <w:t>E. 4</w:t>
      </w:r>
    </w:p>
    <w:p>
      <w:r>
        <w:t>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5</w:t>
      </w:r>
    </w:p>
    <w:p>
      <w:r>
        <w:t>En réforme, le recourant critique d'abord le refus du sursis et la révocation de la libération conditionnelle.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 teneur de l'art. 89 al. 1 CP, si, durant le délai d’épreuve, le détenu libéré conditionnellement commet un crime ou un délit, le juge qui connaît de la nouvelle infraction ordonne sa réintégration dans l’établissement. D'après l'art. 89 al. 2 CP,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6.a) Le recourant ne conteste pas tomber sous le coup de l'art. 42 al. 2 CP, vu la date de sa dernière condamnation à une peine privative de liberté, respectivement à une peine d'emprisonnement de six mois, prononcée le 29 août 2005, et la période durant laquelle ont, pour la plupart, été commises les infractions ici en cause. Partant, la nouvelle peine ne peut être assortie du sursis qu’en cas de circonstances particulièrement favorables. A cet égard, le Tribunal fédéral a, dans un arrêt de principe du 19 mai 2009 (6B_492/2008, c. 3.1.3, non publié aux ATF 135 IV 152), considéré ce qui suit : "(…) en cas de récidive dans les conditions posées par l'art. 42 al. 2 CP, il ne peut y avoir de sursis à l'exécution de la peine qu'en cas de circonstances particulièrement favorables (...). On doit en déduire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alors que le sursis partiel n'est envisageable qu'en cas de pronostic incertain ou de doutes très importants au sujet du comportement futur de l'auteur. Ainsi, 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b) Les antécédents du recourant sont particulièrement lourds. Ainsi qu'en ont statué les premiers juges, il s'agit d'un délinquant multirécidiviste, installé dans le milieu de la drogue. De longue date, l'intéressé se livre à la culture du cannabis et écoule cette drogue. Il fait ainsi preuve, de manière récurrente, d'un sentiment d'impunité et d'une absence de scrupules au mépris de la santé publique, y compris au préjudice de mineurs. Il a souvent trompé la confiance placée en lui en persistant à commettre en particulier des infractions à la législation sur les stupéfiants malgré les conditions posées à sa libération conditionnelle, ce dans le délai d'épreuve assortissant sa précédente condamnation et celui de sa libération conditionnelle. La récidive est spéciale. L'expertise relève un risque de réitération élevé en matière d'infractions à la LStup. L'abstinence de l'intéressé aux drogues, qui remonte au mois de mai 2008, n'a pas la portée que le recourant tente de lui conférer. En effet, elle ne l'a pas dissuadé, le 29 novembre de la même année, de perpétrer de nouvelles infractions, à la LCR cette fois, en compagnie de consommateurs de drogue, ce qui montre qu'il continue à fréquenter le milieu toxicomane. Il s'agit d'un élément objectif de plus l'exposant à la réitération. En présence d'une telle accumulation de facteurs de risque, ce n'est pas excéder le pouvoir d'appréciation dévolu au juge par la loi que de considérer que le recourant constitue un danger pour la société nonobstant les quelques éléments assurément favorables mentionnés par ailleurs, s'agissant en particulier de l'exercice d'une activité salariée durant plusieurs mois. L'impératif de prévention spéciale commande donc de nier toutes circonstances particulièrement favorables au sens de l'art. 42 al. 2 in fine CP. Le refus du sursis – complet et partiel - ne procède ainsi pas d'une violation du droit fédéral.</w:t>
      </w:r>
    </w:p>
    <w:p>
      <w:r>
        <w:rPr>
          <w:b/>
        </w:rPr>
        <w:t>E. 7</w:t>
      </w:r>
    </w:p>
    <w:p>
      <w:r>
        <w:t>La cour de céans, statuant sur le fond, est compétente pour ordonner la réintégration du recourant dans l’établissement (art. 89 al. 1 CP). Sous l'angle de l'art. 89 al. 2 CP, la question déterminante est celle de savoir si, malgré les délits commis pendant le délai d’épreuve, il n’y a pas lieu de craindre que le condamné ne commette de nouvelles infractions. Le pronostic défavorable commande la révocation de la libération conditionnelle car il rend le risque de réitération significatif au sens de l'art. 89 al. 2, 1 e phrase, CP. Vu la gravité des faits, aucune des mesures prévues en faveur du condamné par l'art. 89 al. 2, 2 e phrase, CP ne se justifie.</w:t>
      </w:r>
    </w:p>
    <w:p>
      <w:r>
        <w:rPr>
          <w:b/>
        </w:rPr>
        <w:t>E. 8</w:t>
      </w:r>
    </w:p>
    <w:p>
      <w:r>
        <w:t>Les infractions réprimées ont, pour la plupart, été commises pendant le délai d'épreuve assortissant la condamnation du 29 août 2005. Elles justifient une peine privative de liberté ferme, laquelle entre en concours avec le solde de la peine devenu exécutoire à la suite de la révocation de la libération conditionnelle. Les conditions d'application de l'art. 89 al. 6 CP sont dès lors réalisées. Partant, une peine d'ensemble doit être prononcée en vertu de l'art. 49 CP, dans la mesure où il s'agit de réprimer les infractions commises durant le délai d'épreuve. C'est bien ainsi qu'ont procédé les premiers juges en prononçant une peine d'ensemble et en statuant que la peine était très partiellement complémentaire à celle prononcée le 29 août 2005 par le tribunal correctionnel. A cet égard également, le jugement s'avère conforme au droit fédéral.</w:t>
      </w:r>
    </w:p>
    <w:p>
      <w:r>
        <w:rPr>
          <w:b/>
        </w:rPr>
        <w:t>E. 9</w:t>
      </w:r>
    </w:p>
    <w:p>
      <w:r>
        <w:t>Le recourant conclut enfin à ce que la peine privative de liberté prononcée soit inférieure à douze mois. Contrairement à ses moyens portant sur l'octroi du sursis complet et sur le maintien de la libération conditionnelle, le moyen dirigé contre la mesure de la peine n'est articulé que pour autant que le chef d'accusation portant sur la violation de l'art. 136 CP, contesté sous l'angle de la nullité, ne soit pas retenu. Or, il a été vu que le recourant s'était rendu coupable d'avoir remis des substances nocives à des enfants (cf. le c. 3 ci-dessus). Vu les conclusions du recours, il n'y a donc pas lieu de statuer sur le quantum de la peine. Vérifiée d'office, la quotité de la peine privative de liberté (d'ensemble) est fondée sur des éléments pertinents, à charge et à décharge. Au surplus, aucun élément déterminant au regard de l'art. 47 CP n'a été omis, respectivement ne s'est vu conférer une portée excessive ou insuffisante. La peine prononcée se situe dans le cadre légal. Elle n'apparaît pas arbitrairement sévère. Il s'ensuit que le recours en réforme doit être rejeté à l'instar du recours en nullité.</w:t>
      </w:r>
    </w:p>
    <w:p>
      <w:r>
        <w:rPr>
          <w:b/>
        </w:rPr>
        <w:t>E. 10</w:t>
      </w:r>
    </w:p>
    <w:p>
      <w:r>
        <w:t>En conclusion, le recours doit être rejeté en application de l'art. 431 al. 2 CPP et le jugement confirmé. Vu l'issue du recours, les frais de deuxième instance, y compris l'indemnité allouée à son défenseur d'office, par 1'162 fr. 10,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