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672 vom 15. Dezember 2010</w:t>
      </w:r>
    </w:p>
    <w:p>
      <w:r>
        <w:t>VD Tribunal cantonal, 2010-12-15, FR</w:t>
      </w:r>
    </w:p>
    <w:p>
      <w:r>
        <w:rPr>
          <w:b/>
        </w:rPr>
        <w:t xml:space="preserve">Quelle: </w:t>
      </w:r>
      <w:r>
        <w:t>https://mcp.opencaselaw.ch/entscheid/vd_findinfo_HC___2010___672</w:t>
      </w:r>
    </w:p>
    <w:p>
      <w:r>
        <w:t>FR: VD_FINDINFO HC / 2010 / 672 du 15 décembre 2010</w:t>
      </w:r>
    </w:p>
    <w:p>
      <w:r>
        <w:t>IT: VD_FINDINFO HC / 2010 / 672 del 15 dicembre 2010</w:t>
      </w:r>
    </w:p>
    <w:p>
      <w:pPr>
        <w:pStyle w:val="Heading2"/>
      </w:pPr>
      <w:r>
        <w:t>Regeste</w:t>
      </w:r>
    </w:p>
    <w:p>
      <w:r>
        <w:t>DÉTENTION AUX FINS D'EXPULSION |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art. 30 al. 1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Déposé en temps utile par le recourant, qui y a intérêt, le recours est recevable (art. 30 al. 2 LVLEtr).</w:t>
      </w:r>
    </w:p>
    <w:p>
      <w:r>
        <w:rPr>
          <w:b/>
        </w:rPr>
        <w:t>E. 2</w:t>
      </w:r>
    </w:p>
    <w:p>
      <w:r>
        <w:t>Le Juge de paix du district de Lausanne, autorité compétente selon les art. 11 et 17 LVLEtr, a procédé à l'audition du recourant par l’intermédiaire d’un interprète le 23 novembre 2010, soit dans les vingt-quatre heures dès le moment où le recourant a été arrêté, et a immédiatement rendu un ordre de détention, puis sa décision motivée dans les nonante-six heures (art. 16 al. 1 LVLEtr). Les propos du recourant ont été mentionnés dans le procès-verbal (art. 21 al. 2 LVLEtr). Le recourant a été informé de son droit de demander la désignation d'un conseil d'office (art. 24 al. 2 LVLEtr). Un conseil d'office lui a été désigné à sa requête. La procédure suivie a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2 LVLEtr).</w:t>
      </w:r>
    </w:p>
    <w:p>
      <w:r>
        <w:rPr>
          <w:b/>
        </w:rPr>
        <w:t>E. 4</w:t>
      </w:r>
    </w:p>
    <w:p>
      <w:r>
        <w:t>a) Le recourant voit tout d’abord une violation de son droit d’être entendu dans le fait que son avocat n’a pas été convoqué à l’audience du 23 novembre 2010 devant le juge de paix. Selon l’art. 15 LVLEtr, le SPOP informe le mandataire déjà constitué dans le cadre de la procédure de droit des étrangers ou d’asile de l’interpellation de l'étranger concerné (al. 2). La possibilité est donnée à la personne faisant l'objet de l'interpellation de contacter son mandataire ou la personne de son choix (al. 3). En l’espèce, le recourant a fait l’objet en 2004 d’une interdiction d’entrée en Suisse, puis est revenu illégalement en 2010 dans ce pays. Aucune nouvelle procédure de droit des étrangers ou d’asile n'est en cours à son sujet. Lors de son audition le 22 novembre 2010 par la police cantonale, le recourant n’a pas indiqué qu’il avait consulté un avocat. Entendu par le juge de paix le même jour à 10 heures 30, il a déclaré qu’il renonçait à la désignation d’un avocat d’office, ayant un avocat en la personne de Me Jean-Samuel Leuba. Cette annonce de l’existence d’un conseil n’impliquait pas de suspendre l’audience afin de l’y convoquer. Ce conseil n’était pas l’avocat du recourant dans le cadre d'une procédure en cours au sens de l’art. 15 al. 2 LVLEtr. Le recourant ne sollicitait pas immédiatement la présence de son avocat de choix devant le premier juge, qui avait l'obligation de l'entendre dans les 24 heures dès son interpellation (art. 16 al. 1 LVLEtr), ce qui excluait de renvoyer l’audience en fonction des disponibilités d'un avocat. Dans ces conditions, on ne peut pas reprocher au juge de paix de n’avoir pas contacté immédiatement l’avocat du recourant. Par ailleurs, le droit d’être entendu du recourant a été suffisamment garanti par la faculté qu’il a eue de s’exprimer par l’intermédiaire de son conseil devant la cour de céans, laquelle dispose d’un pouvoir d’examen complet en fait et en droit. Peu importe au surplus que le premier juge ait déclaré dans sa lettre du 24 novembre 2010 au conseil du recourant que son mandat n’avait pas été porté à sa connaissance, ce qui était inexact au vu des déclarations faites à l’audience de la veille par le recourant. b) Le recourant critique à tort l’ordonnance entreprise en tant qu’elle relate qu’une décision informelle a été prise à son égard par le SPOP. Une telle décision a été notifiée au recourant le 23 novembre 2010 par le SPOP, en vertu de l’art. 64 al. 1 let. a LEtr, selon lequel l’étranger n’ayant pas d’autorisation alors qu’il y est tenu est renvoyé de Suisse sans décision formelle. L’absence de formalité tient au fait que, dans un premier temps, l’indication d’une voie de recours n’est pas communiquée, le destinataire ayant la faculté de demander une décision dite formelle, comprenant motifs et voie de recours (art. 64 al. 2 LEtr). Le mode de faire du SPOP est donc conforme à la loi et n’a de toute manière pas d’incidence sur la procédure de mesures de contrainte. c) Le recourant tire encore argument des termes utilisés dans l’ordonnance attaquée, où on lit que le recourant a été arrêté par la police. Il est vrai que cette description des faits occulte le fait que le recourant a donné suite à une convocation de la police et n’a pas été arrêté lors d'une intervention. Mais cela ne change rien au fait qu’une arrestation était justifiée comme on l’exposera ci-dessous. d) Le recourant démontre à juste titre que, contrairement à ce qu’a retenu le premier juge, son passeport est valable jusqu’au 20 juillet 2020 et non pas jusqu’au 20 juillet 2010. Cette précision est cependant sans incidence sur le principe de la détention. En revanche, elle permet d'affirmer que les opérations d'expulsion seront facilitées par le fait que l'intéressé dispose d'un passeport en cours de validité.</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15 décembre 2010 Le dispositif de l'arrêt qui précède est communiqué par écrit aux intéressés. Le greffier : Du L'arrêt qui précède, dont la rédaction a été approuvée à huis clos, est notifié en expédition complète, par l'envoi de photocopies, à : ‑ Me Jean-Samuel Leuba (pour D.________),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