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665 vom 22. September 2010</w:t>
      </w:r>
    </w:p>
    <w:p>
      <w:r>
        <w:t>VD Tribunal cantonal, 2010-09-22, FR</w:t>
      </w:r>
    </w:p>
    <w:p>
      <w:r>
        <w:rPr>
          <w:b/>
        </w:rPr>
        <w:t xml:space="preserve">Quelle: </w:t>
      </w:r>
      <w:r>
        <w:t>https://mcp.opencaselaw.ch/entscheid/vd_findinfo_HC___2010___665</w:t>
      </w:r>
    </w:p>
    <w:p>
      <w:r>
        <w:t>FR: VD_FINDINFO HC / 2010 / 665 du 22 septembre 2010</w:t>
      </w:r>
    </w:p>
    <w:p>
      <w:r>
        <w:t>IT: VD_FINDINFO HC / 2010 / 665 del 22 settembre 2010</w:t>
      </w:r>
    </w:p>
    <w:p>
      <w:pPr>
        <w:pStyle w:val="Heading2"/>
      </w:pPr>
      <w:r>
        <w:t>Regeste</w:t>
      </w:r>
    </w:p>
    <w:p>
      <w:r>
        <w:t>PEINE, SURSIS À L'EXÉCUTION DE LA PEINE, SURSIS PARTIEL À L'EXÉCUTION DE LA PEINE | 42 CP, 43 CP, 47 CP</w:t>
      </w:r>
    </w:p>
    <w:p>
      <w:pPr>
        <w:pStyle w:val="Heading2"/>
      </w:pPr>
      <w:r>
        <w:t>Erwägungen</w:t>
      </w:r>
    </w:p>
    <w:p>
      <w:r>
        <w:rPr>
          <w:b/>
        </w:rPr>
        <w:t>E. 1</w:t>
      </w:r>
    </w:p>
    <w:p>
      <w:r>
        <w:t>Le jugement attaqué constitue un jugement principal rendu en contradictoire au sens de l’art. 410 al. 1 CPP (Code de procédure pénale du 12 septembre 1967; RSV 312.01). Un recours en nullité ou en réforme est donc ouvert à la Cour de cassation en vertu de l’art. 410 al. 1 CPP. En tant que condamné, le recourant a qualité pour recourir en réforme sur la base de l’art. 416 CPP, en invoquant une fausse application des règles de fond, civiles ou pénales, applicables au jugement de la cause, conformément à l’art. 415 al. 1 CPP. La déclaration de recours (du 24 septembre 2010) a été déposée dans les cinq jours dès la communication orale du jugement, conformément à l’art. 424 CPP. Le jugement entrepris a été notifié le 6 octobre 2010 au conseil d'office du recourant. En déposant son mémoire motivé le lundi 18 octobre 2010, l'intéressé a respecté le délai de dix jours prévu par l’art. 425 al. 1 CPP. Le mémoire contient aussi la désignation du jugement attaqué, des conclusions, ainsi que des motifs à l’appui de celles-ci, satisfaisant ainsi aux autres conditions de l’art. 425 CPP. Le recours est recevable en la forme.</w:t>
      </w:r>
    </w:p>
    <w:p>
      <w:r>
        <w:rPr>
          <w:b/>
        </w:rPr>
        <w:t>E. 2</w:t>
      </w:r>
    </w:p>
    <w:p>
      <w:r>
        <w:t>Le recours d'L.________ tend exclusivement à la réforme du jugement entrepris. En pareil cas, la cour de céans est liée par les faits constatés par le jugement attaqué sous réserve des inadvertances manifestes qu'elle rectifie d'office (art. 447 al. 2 CPP). En revanche, elle examine librement les questions de droit sans être limitée aux moyens invoqués (art. 447 al. 1 CPP). Elle ne peut cependant pas aller au-delà des conclusions du recourant.</w:t>
      </w:r>
    </w:p>
    <w:p>
      <w:r>
        <w:rPr>
          <w:b/>
        </w:rPr>
        <w:t>E. 3</w:t>
      </w:r>
    </w:p>
    <w:p>
      <w:r>
        <w:t>Le recourant considère que la peine est arbitrairement sévère.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 Dupuis, Monnier, Moreillon et Piguet, Procédure pénale vaudoise, 3 ème éd. Bâle 2008, n. 1.4 ad art. 415 CPP et les réf. cit., p. 497; ATF 129 IV 6 c. 6.1; 128 IV 73 c. 3b; 127 IV 101 c. 2c; 123 IV 150 c. 2a; 122 IV 241 c. 1a; 118 IV 21 c. 2a; 116 IV 288 c. 2b in CCASS no 198 du 5 mai 2010).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Dans le domaine spécifique des infractions à la LStup, le Tribunal fédéral a, en outre, dégagé les principes suivants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lit.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p. 301; 121 IV 193 c.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Le nombre d'opérations constitue un indice supplémentaire permettant de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p. 301). Enfin, il faudra tenir compte des antécédents, qui comprennent aussi bien les condamnations antérieures que les circonstances de la vie passée, ainsi que du comportement du délinquant lors de la procédure. Le juge pourra atténuer la peine en raison de l'aveu ou de la bonne coopération de l'auteur de l'infraction avec les autorités policières ou judiciaires notamment si cette coopération a permis d'élucider des faits qui, à ce défaut, seraient restés obscurs (cf. arrêt du Tribunal fédéral 6B_380/2008 ; ATF 121 IV 202 c. 2d/aa p. 204; 118 IV 342 c. 2d p. 349). En matière de circulation routière, la culpabilité d'un récidiviste est amplifiée par le fait qu'il n'a pas tenu compte de l'avertissement constitué par la précédente condamnation (Favre, Pellet, Stoudmann, Code pénal annoté, Lausanne 2007, n.1.25 ad art. 47 CP, p. 167). b) En l’occurrence, L.________ a de mauvais antécédents et il n’a jamais quitté le monde de la drogue malgré les cures, des liens familiaux solides et un travail. Au demeurant, les problèmes financiers rencontrés par le prévenu ne sont ni accidentels, ni ponctuels. Ils ne sauraient donc excuser ou servir à expliquer les infractions commises. Il ressort du reste des indications fournies aux débats par l'intéressé que sa situation est obérée depuis longtemps : la société [...] Sàrl, qu'il dirigeait, a fait faillite en 2009, et il a des dettes à concurrence de 100'000 francs, résultant de pensions alimentaires non payées durant une période d'emprisonnement. Quant au sursaut de conscience qui a poussé le recourant à interrompre son activité délictueuse, il a été pris en compte par les premiers juges, qui ont retenu la circonstance atténuante du repentir sincère (cf. le jugement entrepris p. 9). Par ailleurs, appréciant la quotité de la peine infligée (14 mois), le recourant estime que les premiers juges auraient dû mieux considérer les effets de cette peine sur son avenir. Incompatible avec un mode d’exécution tel que la semi-détention ou les arrêts domiciliaires, la sanction qu'il conteste pourrait, selon lui, entraver sa réinsertion professionnelle. A ce sujet, il soutient que la composante de la proximité avec la clientèle dans une activité comme la sienne (courtier indépendant) "[…] ne permet pas de s'éloigner pendant plusieurs mois du marché sur lequel on opère[…]" (mémoire de recours p. 4). Il faut objecter à ce raisonnement que ce n'est pas la quotité de la peine qui peut avoir cet effet, mais bien plutôt le sursis total ou partiel dont elle peut être assortie. L.________ se prévaut encore de l'état d'esprit positif dont il aurait fait preuve au moment du jugement par "[…] une acceptation totale de ses actes et une volonté d'être jugé pour ceux-ci[…]" (mémoire de recours p. 9). Sur ce point cependant, la cour de céans est liée par les constatations des premiers juges. Ainsi, l'argumentaire du recourant, qui oppose sa propre version des faits à celle retenue dans le jugement attaqué, est irrecevable dans le cadre d’un recours en réforme. En tout état, l'opinion des premiers juges n’apparaît pas critiquable lorsqu’ils relèvent qu'une personne qui ne prend aucun engagement devant le juge de respecter à l’avenir les limitations de vitesse, et qui ne s’excuse pas d’avoir adopté un tel comportement routier, malgré trois sanctions pénales et dix sanctions administratives, rend compte d’une personnalité indolore à la condamnation. En définitive, les critiques du recourant ne démontrent pas que les premiers juges auraient outrepassé leur pouvoir d’appréciation dans la fixation de la peine. Sur ce point, la motivation du jugement entrepris est claire et complète; on y trouve tous les éléments pertinents à charge (concours d’infractions, mauvais antécédents) et à décharge (repentir sincère, bonne collaboration avec les enquêteurs). La quotité de la peine a donc été fixée de manière conforme au droit fédéral (art. 47 CP). Mal fondé, le moyen ne peut qu'être rejeté.</w:t>
      </w:r>
    </w:p>
    <w:p>
      <w:r>
        <w:rPr>
          <w:b/>
        </w:rPr>
        <w:t>E. 4</w:t>
      </w:r>
    </w:p>
    <w:p>
      <w:r>
        <w:t>a) L.________ fait encore valoir qu’il pouvait bénéficier d’un sursis complet à la peine de 14 mois. Il rappelle les circonstances particulières du cas et souligne que son mobile n’était pas l’appât strict du gain, mais la nécessité de sauver son entreprise. Il est en outre d'avis que l'on pouvait retenir, dans son cas, un pronostic très positif (mémoire de recours p. 9). b) En matière de sursis,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juge doit en outre suffisamment motiver sa décision, de manière à permettre de vérifier s'il a été tenu compte de tous les éléments pertinents et comment ils ont été appréciés (TF 6B_103/2007 du 12 novembre 2007 c. 4.2.1 et TF 6B_664/2007 du 18 janvier 2008 c. 3.1.1). L'art. 42 CP n'exige pas l'existence d'un pronostic favorable quant au comportement futur du condamné. Le sursis est refusé non pas lorsqu'il est impossible d'établir un pronostic favorable, mais bien parce qu'un pronostic défavorable existe (Kuhn, Le sursis et le sursis partiel, in Justice et Sanctions, vol. 8, op. cit., pp. 213 ss, spéc. p. 220). Le sursis est la règle dont on ne peut en principe s'écarter qu'en présence d'un pronostic défavorable. En cas d'incertitude, le sursis doit primer (TF 6B_103/2007 du 12 novembre 2007, précité, c. 4.2.2 in fine).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(TF 6B_844/2009 du 21 décembre 2009 c. 1.1.3 et la jurisprudence citée). c) L'art. 43 CP prévoit que le juge peut suspendre partiellement l'exécution d'une peine pécuniaire, d'un travail d'intérêt général ou d'une peine privative de liberté d'un an au moins et de trois ans au plus afin de tenir compte de façon appropriée de la faute de l'auteur (al. 1). D'après la jurisprudence fédérale,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L'art. 43 CP permet alors que l'effet d'avertissement du sursis partiel autorise, compte tenu de l'exécution partielle ordonnée simultanément, un pronostic largement plus favorable pour l'avenir (TF 6B _800/2008 du 4 décembre 2008, op. cit. c.2.2). In casu, le tribunal a considéré qu'un pronostic complet n'était pas possible, vu les antécédents du recourant et ses récidives en matière de circulation routière. Il a aussi relevé qu'L.________ restait exposé à des rechutes en matière de toxicomanie en dépit des condamnations précédentes, du traitement médical et de sa stabilité familiale et professionnelle. Dans ces conditions, le pronostic est incertain, comme l'a relevé à juste titre le jugement entrepris, de sorte que seul le sursis partiel est de mise. Le recourant n'a d'ailleurs pas démontré que les conditions d'un sursis complet seraient réalisées; il se prévaut d'un pronostic très positif sans l'étayer de manière pertinente. Mal fondé, ce moyen doit également être rejeté.</w:t>
      </w:r>
    </w:p>
    <w:p>
      <w:r>
        <w:rPr>
          <w:b/>
        </w:rPr>
        <w:t>E. 5</w:t>
      </w:r>
    </w:p>
    <w:p>
      <w:r>
        <w:t>Il faut encore examiner l'argument selon lequel la peine privative de liberté de six mois ferme entraverait la réinsertion d'L.________ ce qui revient à se demander si la partie ferme de la peine peut être davantage réduite. a) Aux termes de l'art. 43 al. 3 CP, en cas de sursis partiel à l'exécution d'une peine privative de liberté, la partie suspendue, de même que la partie à exécuter, doivent être de six mois au moins. Les règles d'octroi de la libération conditionnelle ne lui sont pas applicables (al. 3). b) Lorsqu'il prononce une peine privative assortie d'un sursis partiel, le juge doit non seulement fixer au moment du jugement la quotité de la peine qui est exécutoire et celle qui est assortie du sursis, mais également mettre en proportion adéquate une partie à l'autre. Selon l'art. 43 CP,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(TF 6B _800/2008 du 4 décembre 2008, op. cit. c.2.2). En l'espèce, le tribunal a condamné L.________ à une peine privative de liberté de 14 mois, avec un sursis partiel de 8 mois. La partie ferme de la peine est ainsi de six mois; elle a été réduite au minimum prévu par la loi (art. 43 al. 3 CP), de sorte qu’une plus ample réduction de la partie ferme de la peine n’aurait pas été possible sans violer l’art. 43 al.3 CP. Quant au solde de la peine, il a été assorti du sursis, ce qui est n’est pas critiquable dès lors que le pronostic est incertain. Or ce sursis partiel tient compte en soi de l’effet de la peine sur l’avenir du condamné puisqu’il permet au juge d’échapper au dilemme du "tout ou rien" en fixant une peine qui tienne compte de façon appropriée de la culpabilité de l’auteur (art. 43 al.1 in fine). Quel qu'en soit le motif, la partie ferme de la peine ne peut donc pas être inférieure à six mois. Sur ce point, le jugement entrepris n'apparaît pas critiquable. Mal fondé, ce moyen doit être rejeté.</w:t>
      </w:r>
    </w:p>
    <w:p>
      <w:r>
        <w:rPr>
          <w:b/>
        </w:rPr>
        <w:t>E. 6</w:t>
      </w:r>
    </w:p>
    <w:p>
      <w:r>
        <w:t>L.________ considère enfin que le délai d’épreuve ne devrait pas dépasser trois ans. L'art. 44 al. 1 CP prévoit que si le juge suspend partiellement ou totalement l'exécution d'une peine, il impartit au condamné un délai d'épreuve de deux à cinq ans. Il y a lieu de prendre en compte aussi bien les circonstances du cas que la personnalité du condamné. En outre, plus le risque de récidive est important, plus long doit être le délai d'épreuve et la pression qu'il exerce sur le condamné pour qu'il renonce à commettre de nouvelles infractions. La durée doit être déterminée de manière à offrir la plus grande probabilité que le condamné ne récidivera pas (TF 6B_16/2009 du 14 avril 2009 c.2). In casu, une rechute ne peut pas être complètement exclue en ce qui concerne les infractions à la LStup. En effet, l'accusé est un toxicomane de longue date qui est encore sous traitement de substitution. Par ailleurs, en ce qui concerne la violation des règles de la circulation, une récidive est fortement à craindre au vu du nombre de sanctions administratives et pénales infligées au recourant, la dernière remontant à 2008. Dans ces circonstances, c’est à juste titre que les premiers juges ont considéré qu’un délai d’épreuve de 5 ans était nécessaire pour cadrer suffisamment le condamné. Compte tenu du caractère de ce dernier et du risque de récidive  (Favre, Pellet, Stoudmann, Code pénal annoté, Lausanne 2007, n.1.2 ad art. 44 CP, p. 154), il n'y a pas lieu de revoir à la baisse le délai d'épreuve fixé par les premiers juges.</w:t>
      </w:r>
    </w:p>
    <w:p>
      <w:r>
        <w:rPr>
          <w:b/>
        </w:rPr>
        <w:t>E. 7</w:t>
      </w:r>
    </w:p>
    <w:p>
      <w:r>
        <w:t>En définitive, aucun des moyens invoqués par L.________ n’est retenu. Le recours ne peut dès lors qu’être rejeté et le jugement confirmé, les frais de deuxième instance, y compris l’indemnité allouée à son défenseur d’office, par 550 francs, étant mis à la charge du recourant.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