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649 vom 5. Oktober 2010</w:t>
      </w:r>
    </w:p>
    <w:p>
      <w:r>
        <w:t>VD Tribunal cantonal, 2010-10-05, FR</w:t>
      </w:r>
    </w:p>
    <w:p>
      <w:r>
        <w:rPr>
          <w:b/>
        </w:rPr>
        <w:t xml:space="preserve">Quelle: </w:t>
      </w:r>
      <w:r>
        <w:t>https://mcp.opencaselaw.ch/entscheid/vd_findinfo_HC___2010___649</w:t>
      </w:r>
    </w:p>
    <w:p>
      <w:r>
        <w:t>FR: VD_FINDINFO HC / 2010 / 649 du 5 octobre 2010</w:t>
      </w:r>
    </w:p>
    <w:p>
      <w:r>
        <w:t>IT: VD_FINDINFO HC / 2010 / 649 del 5 ottobre 2010</w:t>
      </w:r>
    </w:p>
    <w:p>
      <w:pPr>
        <w:pStyle w:val="Heading2"/>
      </w:pPr>
      <w:r>
        <w:t>Regeste</w:t>
      </w:r>
    </w:p>
    <w:p>
      <w:r>
        <w:t>FIXATION DE LA PEINE | 47 CP, 415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47 CP, le recourant se plaint de la peine infligée.</w:t>
      </w:r>
    </w:p>
    <w:p>
      <w:r>
        <w:rPr>
          <w:b/>
        </w:rPr>
        <w:t>E. 2.1</w:t>
      </w:r>
    </w:p>
    <w:p>
      <w:r>
        <w:t>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 Moreillon/Piguet, Procédure pénale vaudoise, Code annoté, 3 ème éd., Bâle 2008, n. 1.4 ad art. 415 CPP et les références citées; ATF 129 IV</w:t>
      </w:r>
    </w:p>
    <w:p>
      <w:r>
        <w:rPr>
          <w:b/>
        </w:rPr>
        <w:t>E. 2.2</w:t>
      </w:r>
    </w:p>
    <w:p>
      <w:r>
        <w:t>C.________ reproche aux premiers juges d'avoir retenu à tort des éléments à charge et d'avoir ignoré certains éléments à décharge.</w:t>
      </w:r>
    </w:p>
    <w:p>
      <w:r>
        <w:rPr>
          <w:b/>
        </w:rPr>
        <w:t>E. 2.2.1</w:t>
      </w:r>
    </w:p>
    <w:p>
      <w:r>
        <w:t>Le recourant fait grief au tribunal d'avoir pris en considération, comme élément à charge, son refus d'exposer ses motivations. De son avis, il aurait admis l'intégralité des faits et considère de surcroît qu'il était arbitraire de reconnaître à celui qui peut fournir une explication cohérente une culpabilité moins lourde qu'à celui qui ne peut ou ne veut en fournir. Il soutient encore qu'il aurait clairement indiqué aux enquêteurs qu'il avait agi par stupidité et en état de détresse, mais qu'il n'avait jamais voulu s'en prendre à l'intégrité sexuelle des victimes ou aux biens de celles-ci. Cette argumentation est vaine pour plusieurs raisons. En préambule, on observera que le jugement retient que l'accusé a admis l'ajout de neuroleptiques et/ou de benzodiazépines dans les boissons offertes (jgt., p. 10, par. 7). Les affirmations de C.________ au sujet de sa collaboration sont toutefois inexactes dans la mesure où il a d’abord nié et n'a finalement collaboré à l'enquête qu'une fois confronté à des preuves accablantes. Au vu du manque de spontanéité des aveux précités, c'est à bon droit que le tribunal a considéré que ceux-ci étaient réticents. Force est dès lors de constater que les premiers juges n'ont pas omis cet élément tout en précisant qu'il devait être relativisé et en refusant de l'apprécier favorablement. L'autorité intimée a également considéré que le recourant ne voulait ou ne pouvait expliquer ses actes. En définitive, cela revient à souligner que les agissements de C.________ ne répondaient à aucun mobile, ce qui en dénote le caractère parfaitement gratuit. Or, il est juste de considérer qu’une personne qui cause des lésions corporelles simples à autrui de façon purement gratuite présente une culpabilité plus lourde que celui qui peut fournir une explication à son geste. Même si l’explication peut être dénuée de cohérence pour le sens commun, elle atteste, au pire, d’une certaine réflexion de la part de celui qui la livre, au mieux, d’une forme de prise de conscience. A supposer, comme le retient le jugement, que C.________ n’ait, dans le meilleur des cas, pas pu trouver une explication à ses actes, on pouvait attendre de lui qu’il fasse en sorte, cas échéant avec le concours de spécialistes, de comprendre son inclination à amoindrir les autres et sa tendance à savourer le pouvoir sur autrui (jgt., p. 15, par. 3). La période de détention avant jugement devait l’y inciter de même que, plus généralement, la procédure pénale initiée contre lui depuis le mois de mars 2009. Au vu des éléments précités, il n'était pas arbitraire de considérer qu'en agissant ainsi, C.________ s’était enfermé dans le déni, qu’il soit volontaire ou non (jgt., p. 15, par. 3), et de retenir cet élément à charge. Pour le surplus, le jugement ne contient strictement aucune allusion à d'éventuelles motivations à caractère sexuel et les critiques du recourant à ce sujet sont vaines. Mal fondé, le moyen doit être rejeté.</w:t>
      </w:r>
    </w:p>
    <w:p>
      <w:r>
        <w:rPr>
          <w:b/>
        </w:rPr>
        <w:t>E. 2.2.2</w:t>
      </w:r>
    </w:p>
    <w:p>
      <w:r>
        <w:t>C.________ soutient ensuite que le tribunal aurait dû retenir que la lésion causée n'était que d'intensité moyenne, voire faible, compte tenu des doses administrées, et non pas importante. Cet argument tombe à faux. Les magistrats de première instance n'ont nullement qualifié la lésion d'importante. Au contraire, ils ont retenu que les victimes n'avaient pas reçu de dose massive, ni létale (jgt., p. 12, par. 6). Ils ont également considéré que le danger était indirect et résultait du mélange et des effets imprévisibles qu'il pouvait provoquer (jgt., p. 12, par. 6). Le jugement relève en outre qu'il n'est pas nécessaire que le médicament soit dangereux car l'infraction est qualifiée non par la gravité du résultat mais par le fait que l'attaque apparaît comme particulièrement vile (jgt., p. 13, par. 6 et les références citées). A cet égard, la cour de céans précise qu'en ce qui concerne l'infraction réprimée par l'art. 123 ch. 1 al. 1 CP, le législateur n'a pas tenu compte, en premier lieu, du résultat. Son intention était que l'auteur de lésions corporelles simples soit poursuivi d'office, lorsqu'il a utilisé une arme, du poison ou un objet dangereux. Le simple fait d'employer ces instruments le fait apparaître comme particulièrement dangereux, même si, dans le cas particulier, cet emploi n'a pas entraîné de graves blessures (ATF 96 IV 16 c. 3a, JT 1970 IV 101 ss, p. 103). Il résulte de ce qui précède que c'est à bon droit que les premiers juges ont estimé que l'acte reposait sur une prise de risque et que cela constituait une attitude inquiétante (jgt., p. 15, par. 3). En l'occurrence, C.________ savait ou ne pouvait ignorer que l'administration de benzodiazépines notamment, hors de tout contrôle médical et à l'insu de ses victimes, était de nature à mettre en danger la santé de celles-ci. Le prénommé a donc intentionnellement administré à ses connaissances un poison, au sens de l'art. 123 ch. 2 al. 1 CP, en choisissant d’ignorer les conséquences de son acte (jgt., p. 13). Il n'était dès lors pas déterminant que les doses aient été massives ou non, le recourant connaissant le caractère dangereux des substances utilisées. Mal fondé, le moyen doit être rejeté.</w:t>
      </w:r>
    </w:p>
    <w:p>
      <w:r>
        <w:rPr>
          <w:b/>
        </w:rPr>
        <w:t>E. 2.2.3</w:t>
      </w:r>
    </w:p>
    <w:p>
      <w:r>
        <w:t>Le recourant reproche encore aux premiers juges d'avoir accordé un poids excessif à son " inclinaison dangereuse ". Il rappelle que dix-huit mois se sont écoulés depuis les faits, qu’il n’a plus inquiété les autorités pénales depuis l'ouverture de la procédure, qu'il a réorganisé sa vie de façon à ne plus se retrouver dans une situation qui pourrait être propice à la récidive et qu’il a subi une sanction disciplinaire qui a déjà eu un effet de prévention suffisant. Dans le cas présent, le tribunal a assorti la peine infligée d'un sursis de telle sorte qu'elle ne peut entraver la resocialisation de C.________. En outre, les premiers juges ont dûment pris en considération les divers éléments pertinents pour la fixation de la peine infligée au prénommé. Ceux que ce dernier soulève n'ont pas échappé au tribunal, qui en a expressément fait mention (pp. 14-16). Le fait qu'il ne les ait pas tous rappelés dans le passage du jugement relatif à la fixation de la peine ne signifie nullement qu'il n'en a pas tenu compte à ce stade. Il sied de rappeler que le jugement pénal forme un tout et que l'on doit en principe admettre qu'au moment de fixer la peine, le juge garde à l'esprit tous les éléments qui y figurent (cf. Bernard Corboz, La motivation de la peine, RJB 1995, p. 1 ss, spéc. p. 24). Rien ne permet de supposer que tel n'ait pas été le cas en l'espèce. On ne saurait encore reprocher au tribunal de ne pas avoir insisté sur la sanction disciplinaire qui a été infligée au recourant, l'effet de prévention étant rattaché à la loi pénale. Sur la base des faits retenus (récidive, absence de mobile, nature particulièrement vile des actes), les magistrats de première instance pouvaient considérer que C.________ présentait un penchant sinon dangereux du moins inquiétant. Quoi qu'il en soit, contrairement à ce que soutient le prénommé, ce n’est pas sa seule inclination dangereuse qui a permis de motiver la peine privative de liberté qui lui a été infligée. Outre les éléments à charge retenus en page 15, les premiers juges ont tenu compte, à décharge, de la période difficile que traversait le recourant ainsi que le fait d'avoir adhéré à la prétention pour tort moral de l’une des victimes. Ils n’ont pas non plus oublié que C.________ était marié et père d’une fillette et que les relations familiales s’étaient stabilisées depuis lors (jgt., p. 15, par. 1). En définitive, mal fondé, le moyen doit être rejeté.</w:t>
      </w:r>
    </w:p>
    <w:p>
      <w:r>
        <w:rPr>
          <w:b/>
        </w:rPr>
        <w:t>E. 2.3</w:t>
      </w:r>
    </w:p>
    <w:p>
      <w:r>
        <w:t>La peine a été fixée dans le cadre légal, en suivant les critères posés par l'art. 47 CP et sans se laisser guider par des considérations étrangères à cette disposition. Il reste à déterminer si la peine privative de liberté de quinze mois est arbitrairement sévère. Dans les cas ordinaires, les lésions corporelles simples qualifiées sont passibles d'une peine privative de liberté de trois ans au plus ou d'une peine pécuniaire (cf. art. 123 ch. 1 al. 1 CP). Dans le cas présent, l'autorité intimée a considéré que la culpabilité de C.________ était lourde. Elle a tout d'abord indiqué qu'en qualité d'ambulancier, le prénommé connaissait les effets secondaires des médicaments administrés tout en ignorant l'ampleur ou la nature de ces effets sur la sensibilité de ses victimes. Le tribunal a ensuite relevé que les actes de l'accusé reposait sur une prise de risque inquiétante, ce d'autant plus qu'il ne pouvait ou ne voulait expliquer sa motivation. En n'ayant pas pu ou voulu trouver une explication à son comportement, C.________ s'est enfermé dans le déni. Les premiers juges ont encore expliqué qu'une analyse objective du comportement de l'intéressé permettait de conclure que la répétition des actes traduisait une inclination à amoindrir les autres et, partant, une tendance à savourer le pouvoir sur autrui. A cela s'ajoutent des aveux réticents, reçus par les enquêteurs seulement après présentation de preuves matérielles accablantes, ainsi qu'une responsabilité pénale entière. A décharge, le tribunal a retenu que les infractions se sont inscrites dans une période de tension professionnelle intense. C.________ a en outre adhéré à la prétention pour tort moral de S.________ et s'est engagé à réparer le dommage matériel subi par V.________ et G.________. Force est ainsi de constater que les éléments défavorables au recourant, en particulier la perfidie des actes qui lui sont reprochés, leur répétition alors qu'il ignorait l’ampleur des effets des médicaments administrés sur ses différentes victimes, l'emportent indéniablement sur les éléments favorables dont il se réclame. Au vu de l'ensemble des circonstances relevées par l'autorité intimée, la faute de C.________ doit être qualifiée de grave. Dans ces conditions, la peine infligée, qui a été fixée sur la base de critères pertinents n'est pas à ce point sévère qu'elle doive être considérée comme procédant d'un abus du pouvoir d'appréciation. Le grief ne peut dès lors qu'être rejeté. 3. C.________ a également conclu à ce qu'il soit condamné à une peine de huit mois avec sursis durant trois ans (au lieu de quatre). Même si le prénommé n'a développé aucun moyen à ce sujet, cette question sera néanmoins examinée, la cour de céans examinant librement les questions de droit dans le cadre d'un recours en réforme. 3.1 Aux termes de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6B_101/2010 du 4 juin 2010 c. 2.1 et les références citées). Dans la mesure où la décision est fondée sur tous les éléments pertinents pour le pronostic futur, le juge jouit d'un large pouvoir d'appréciation (ATF 128 IV 193, JT 2002 I 633; ATF 118 IV 97, JT 1992 I 783 c. 2a; ATF 116 IV 279 c. 2a, JT 1991 I 736). La Cour de cassation n'intervient que si le premier juge n'a pas motivé sa décision, l'a fondée sur des arguments juridiques critiquables ou sur un raisonnement manifestement insoutenable, ou encore s'il a outrepassé son pouvoir d'appréciation (JT 1991 III 19 c. 7; Besse-Matile/Abravanel, Aperçu de jurisprudence sur les voies de recours à la Cour de cassation pénale du Tribunal cantonal vaudois, in JT 1989 III 98, spéc. pp. 105 s.). 3.2 C.________ a déjà occupé la justice pénale par le passé et les actes commis s’inscrivent dans la mise à l’épreuve accordée lors d’une précédente condamnation. A cela s’ajoutent la répétition des actes et son attitude de déni qui ne le met pas à l'abri de la récidive. Compte tenu de l'ensemble des circonstances, notamment de la nécessité de prévenir efficacement le risque de récidive, il n'apparaît pas que l'autorité intimée a violé l'art. 44 al. 1 CP en fixant la durée du sursis à quatre ans. Celle-ci peut ainsi être confirmée car elle échappe au grief d’arbitraire. Mal fondé, le moyen doit dès lors être rejeté. 4. En définitive, aucun des moyens invoqués par C.________ n’est retenu. Son recours ne peut dès lors qu’être rejeté en application de l’art. 431 al. 2 CPP et le jugement confirmé, les frais de deuxième instance étant mis à sa charge (art. 450 al. 1 CPP).</w:t>
      </w:r>
    </w:p>
    <w:p>
      <w:r>
        <w:rPr>
          <w:b/>
        </w:rPr>
        <w:t>E. 6</w:t>
      </w:r>
    </w:p>
    <w:p>
      <w:r>
        <w:t>c. 6.1; 128 IV 73 c. 3b; 127 IV 101 c. 2c).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