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647 vom 6. Dezember 2010</w:t>
      </w:r>
    </w:p>
    <w:p>
      <w:r>
        <w:t>VD Tribunal cantonal, 2010-12-06, FR</w:t>
      </w:r>
    </w:p>
    <w:p>
      <w:r>
        <w:rPr>
          <w:b/>
        </w:rPr>
        <w:t xml:space="preserve">Quelle: </w:t>
      </w:r>
      <w:r>
        <w:t>https://mcp.opencaselaw.ch/entscheid/vd_findinfo_HC___2010___647</w:t>
      </w:r>
    </w:p>
    <w:p>
      <w:r>
        <w:t>FR: VD_FINDINFO HC / 2010 / 647 du 6 décembre 2010</w:t>
      </w:r>
    </w:p>
    <w:p>
      <w:r>
        <w:t>IT: VD_FINDINFO HC / 2010 / 647 del 6 dicembre 2010</w:t>
      </w:r>
    </w:p>
    <w:p>
      <w:pPr>
        <w:pStyle w:val="Heading2"/>
      </w:pPr>
      <w:r>
        <w:t>Regeste</w:t>
      </w:r>
    </w:p>
    <w:p>
      <w:r>
        <w:t>MESURE DE CONTRAINTE{DROIT DES ÉTRANGERS} | 75 al. 1 let. g LEtr, 75 al. 1 let. h LEtr, 76 al. 1 let. b ch. 1 LEtr, 76 al. 1 let. b ch. 3 LEtr, 76 al. 1 let. b ch. 4 LEtr, 76 al. 4 LEtr, 80 al. 1 LEtr, 80 al. 6 LEtr, 30 LVLEtr, 31 LVLEtr</w:t>
      </w:r>
    </w:p>
    <w:p>
      <w:pPr>
        <w:pStyle w:val="Heading2"/>
      </w:pPr>
      <w:r>
        <w:t>Erwägungen</w:t>
      </w:r>
    </w:p>
    <w:p>
      <w:r>
        <w:rPr>
          <w:b/>
        </w:rPr>
        <w:t>E. 1</w:t>
      </w:r>
    </w:p>
    <w:p>
      <w:r>
        <w:t>LVLEtr). Il est de la compétence de la Chambre des recours (art. 71 et 73 LOJV [loi d'organisation judiciaire du 12 décembre 1979; RSV 173.01] et 20 al. 2 let. c ROTC [règlement organique du Tribunal cantonal du 13 novembre 2007; RSV 173.31.1]). Déposé en temps utile par le recourant, qui y a intérêt, le recours est recevable (art. 30 al. 2 LVLEtr).</w:t>
      </w:r>
    </w:p>
    <w:p>
      <w:r>
        <w:rPr>
          <w:b/>
        </w:rPr>
        <w:t>E. 2</w:t>
      </w:r>
    </w:p>
    <w:p>
      <w:r>
        <w:t>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les parties sont ainsi recevables.</w:t>
      </w:r>
    </w:p>
    <w:p>
      <w:r>
        <w:rPr>
          <w:b/>
        </w:rPr>
        <w:t>E. 3</w:t>
      </w:r>
    </w:p>
    <w:p>
      <w:r>
        <w:t>Le Juge de paix du district de Lausanne, autorité compétente selon les art. 11 et 17 LVLEtr, a procédé à l'audition du recourant le 11 octobre 2010 à 14 heures, soit dans les vingt-quatre heures dès son interpellation dans la mesure où le même jour l'intéressé a achevé de purger une peine privative de liberté, et a immédiatement rendu un ordre de rétention, puis sa décision motivée le lendemain, soit dans le délai légal de nonante-six heures (art. 16 al. 1 LVLEtr). Les propos du recourant ont été notés au procès-verbal (art. 21 al. 2 LVLEtr). Il a été informé de son droit de demander la désignation d'un conseil d'office (art. 24 al. 2 LVLEtr). A sa demande, un conseil d'office lui a d'ailleurs été désigné. Par conséquent, la procédure suivie en première instance a été régulière et le droit d'être entendu du recourant a été respecté.</w:t>
      </w:r>
    </w:p>
    <w:p>
      <w:r>
        <w:rPr>
          <w:b/>
        </w:rPr>
        <w:t>E. 4</w:t>
      </w:r>
    </w:p>
    <w:p>
      <w:r>
        <w:t>a) La mise en détention du recourant repose notamment sur l'art. 76 al. 1 let. b ch. 1 LEtr renvoyant à l'art. 75 al. 1 let. g de la même loi. L'art. 76 al. 1 let. b LEtr (détention en vue du renvoi ou de l'expulsion) dispose que lorsqu'une décision de renvoi ou d'expulsion de première instance a été notifiée, l'autorité compétente peut, afin d'en assurer l'exécution, mettre la personne concernée en détention, notamment si elle menace sérieusement d'autres personnes ou met gravement en danger leur vie ou leur intégrité corporelle et fait l'objet d'une poursuite pénale ou a été condamnée pour ce motif (art. 75 al. 1 let. g LEtr). La menace d'enlever son enfant et la commission de violences domestiques suffisent à réaliser les conditions de l'art. 75 al. 1 let. g LEtr (TF 2C_743/2009 du 7 décembre 2009 c. 5). En l'occurrence, le recourant est sous le coup d'une décision de non entrée en matière, assortie d'un renvoi de Suisse, entrée en force le 10 juillet 2001. De 2001 à 2009, il a été condamné pénalement, sous l'identité de [...], à quatre reprises, soit : - 2 août 2001, Juge d'instruction de Lausanne, 20 jours d'emprisonnement pour délit et contravention à la LStup, - 20 mars 2003, Tribunal de district de Martigny/St-Maurice, 20 mois de privation de liberté pour crime et délit à la LStup, - 14 juillet 2005, Juge d'instruction de Lausanne, 45 jours d'emprisonnement pour dommages à la propriété, violence ou menace contre les autorités et les fonctionnaires, rupture de ban et contravention à la LStup, - 23 février 2009, Tribunal correctionnel de Lausanne (jugement par défaut), 15 mois de privation de liberté pour infraction grave et contravention à la LStup, ainsi que pour infraction à la LEtr. Selon un rapport d'expertise psychiatrique du 12 avril 2010 que le recourant a produit au dossier, il a été jugé en 2010 par le Tribunal correctionnel de l'Est vaudois (cause [...]) comme accusé de voies de fait, injure, menaces qualifiées, tentative de contrainte, subsidiairement menaces, séquestration, tentative de violation de domicile, contrainte sexuelle, viol, faux dans les titres, infraction à la LEtr et contravention à la LStup. Comme indiqué ci-dessus, dès lors que la menace de soustraire son propre enfant à l'autre parent ou la commission de voies de fait domestiques atteint déjà le seuil de gravité et d'intensité visé à l'art. 75 al. 1 let. g LEtr, il ne fait pas de doute qu'il en va de même du cumul des infractions qui ont valu des condamnations répétées au recourant, en particulier celles qui ont trait à des comportements violents ou celles d'infraction grave ou même simple à la LStup, comme délit contre la santé publique. b) De toute manière, le recourant réalise également le cas de détention constitué par le renvoi de l'art. 76 al. 1 let. b LEtr à l'art. 75 al. 1 let. h, soit la condamnation à un crime dès lors qu'il a été déclaré coupable d'infraction grave à la législation sur les stupéfiants. c) Le recourant réalise encore les cas de détention de l'art. 76 al. 1 let. b ch. 3 et 4, soit que des éléments concrets font craindre qu'il entende se soustraire au renvoi ou à l'expulsion, en particulier parce qu'il ne se soumet pas à son obligation de collaborer en vertu de l'art. 90 LEtr ou de l'art. 8 al. 1 let. a ou al. 4 LAsi [loi sur l'asile du 26 juin 1998; RS 142.31] (ch. 3) ou que son comportement permet de conclure qu'il se refuse à obtempérer aux instructions des autorités (ch. 4). En l'occurrence, le recourant a disparu dans la clandestinité de 2007 à 2009, changé d'identités au gré des circonstances, n'a pas collaboré à son renvoi en ayant refusé de signer une acceptation de retour volontaire le 6 octobre 2010, n'a entrepris aucune démarche pour se procurer des documents d'identité dans son Etat d'origine et a refusé d'embarquer dans un avion pour Dakar le 4 novembre 2010. Ces éléments constituent un faisceau d'indices concrets et suffisants de sa volonté de se soustraire au renvoi, de sorte que sa mise en détention est justifiée.</w:t>
      </w:r>
    </w:p>
    <w:p>
      <w:r>
        <w:rPr>
          <w:b/>
        </w:rPr>
        <w:t>E. 5</w:t>
      </w:r>
    </w:p>
    <w:p>
      <w:r>
        <w:t>Le recourant fait valoir que sa détention ne serait pas légale dès lors que les démarches nécessaires à l'exécution de son renvoi n'auraient pas été entreprises sans tarder comme le prescrit l'art. 76 al. 4 LEtr. Toutefois, contrairement à ce qu'il prétend, l'obligation de diligence ne se mesure pas à partir du moment où le renvoi est définitif et exécutoire, soit en l'occurrence depuis 2001, mais dès l'interpellation, soit dès le début de la détention. Certes la jurisprudence du Tribunal fédéral a précisé que lorsque l'étranger est pénalement détenu, la préparation du renvoi doit déjà intervenir durant cette phase (ATF 124 II 49 traduit au JT 2000 IV 13 c. 3a), mais il faut encore que le refoulement ne fasse aucun doute et que le retard ne soit pas imputable au comportement de l'intéressé lui-même. Or en l'espèce, le recourant a vécu plusieurs années en Suisse sous les identités alternatives de D.________, né le 1 er janvier 1977, de [...], né le 1 er janvier 1981, et de [...], né le 6 novembre 1980. Il a été condamné à plusieurs reprises et a purgé des peines privatives de liberté sous l'identité d'emprunt de [...]. Ce comportement frauduleux lui a permis de prolonger son séjour illicite en Suisse. Il ne saurait conformément au principe de la bonne foi s'en prévaloir pour prétendre que son renvoi aurait dû être organisé durant sa détention pénale alors qu'il s'est gardé de révéler, alors qu'il était détenu sous une identité, qu'on devait le renvoyer sous une autre. Pour le surplus, la proportionnalité est respectée vu le laissez-passer sénégalais obtenu le 26 octobre 2010 et la réservation d'un vol de retour spécial dans les meilleurs délais. L'exigence de l'art. 76 al. 4 LEtr est ainsi respectée.</w:t>
      </w:r>
    </w:p>
    <w:p>
      <w:r>
        <w:rPr>
          <w:b/>
        </w:rPr>
        <w:t>E. 6</w:t>
      </w:r>
    </w:p>
    <w:p>
      <w:r>
        <w:t>Le recourant se prévaut de son état de santé. Le 8 novembre 2010, il a été transféré, sur ordre du directeur de l'Etablissement de Frambois, aux Hôpitaux universitaires de Genève. Un certificat médical du 13 octobre 2010 établi par le médecin responsable de l'Etablissement de Frambois contre-indique son retour dans l'établissement. Enfin, un certificat médical du Dr [...] du 23 novembre 2010 évoque une grave pathologie psychiatrique et insiste sur la nécessité de la poursuite du traitement médicamenteux en cours et recommande notamment que les liens thérapeutiques établis se perpétuent. L'expertise psychiatrique du 12 avril 2010 pose le diagnostic de trouble psychotique chronique du registre schizophrénique. Toutefois, aucun élément du dossier ne permet de penser que le recourant ne pourrait bénéficier des soins adéquats dans son pays. Au demeurant, ces troubles qui n'ont pas été incompatibles avec la détention pénale ne le sont pas davantage avec le renvoi, puisqu'ils n'ont pas empêché le recourant de vivre des années en Suisse dans la clandestinité en déployant une certaine ruse, de se marier, de devenir père et parfois de travailler, selon les pièces qu'il a produites. De toute manière, il n'incombe pas au juge des mesures de contrainte, mais au juge du renvoi d'examiner le cas échéant si la dégradation de la santé d'un ressortissant étranger s'oppose à son renvoi. En définitive, l'exécution du renvoi ne s'avère pas d'emblée impossible pour des raisons juridiques ou matérielles (art. 80 al. 6 let. a LEtr a contrario ) et elle devrait avoir lieu dans un délai raisonnable.</w:t>
      </w:r>
    </w:p>
    <w:p>
      <w:r>
        <w:rPr>
          <w:b/>
        </w:rPr>
        <w:t>E. 7</w:t>
      </w:r>
    </w:p>
    <w:p>
      <w:r>
        <w:t>Le recourant fait encore valoir que sa véritable identité serait [...], né le 6 novembre 1980 en France, détenteur de la nationalité française, et soutient qu'il ne doit pas être détenu pour être renvoyé au Sénégal, mais qu'il doit être libéré pour se rendre en France où il souhaite vivre. Selon certaines pièces produites en copie, le recourant s'est effectivement marié et a divorcé sous cette identité. Toutefois, cette troisième identité s'avère toute aussi douteuse que les précédentes. En effet, le recourant n'a produit aucune pièce d'identité originale, mais uniquement des copies. Il a déclaré au juge de paix que son conseil produirait son passeport français déposé dans la cave de son ex-épouse, mais cela n'a pas été le cas. Il ressort de correspondances de son conseil que le recourant aurait échangé des documents d'identité avec un tiers ou se serait légitimé avec des documents d'identité d'un tiers. Enfin, s'il était véritablement français, c'est-à-dire citoyen européen, avec tous les droits notamment sociaux qui en découlent, il paraîtrait pour le moins invraisemblable qu'au lieu de mettre à profit ce statut, il se soit compliqué la vie en se faisant passer pour un requérant d'asile en Suisse et qu'il y ait vécu illicitement depuis 2001 avec la précarité et les difficultés que cela implique. Ce dernier moyen doit ainsi être rejeté.</w:t>
      </w:r>
    </w:p>
    <w:p>
      <w:r>
        <w:rPr>
          <w:b/>
        </w:rPr>
        <w:t>E. 8</w:t>
      </w:r>
    </w:p>
    <w:p>
      <w:r>
        <w:t>En définitive, la détention s'avère bien fondée, de sorte que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6 décembre 2010 Le dispositif de l'arrêt qui précède est communiqué par écrit aux intéressés. Le greffier : Du L'arrêt qui précède, dont la rédaction a été approuvée à huis clos, est notifié en expédition complète, par l'envoi de photocopies, à : ‑ Me Marie-Pomme Moinat (pour D.________),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