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643 vom 26. November 2010</w:t>
      </w:r>
    </w:p>
    <w:p>
      <w:r>
        <w:t>VD Tribunal cantonal, 2010-11-26, FR</w:t>
      </w:r>
    </w:p>
    <w:p>
      <w:r>
        <w:rPr>
          <w:b/>
        </w:rPr>
        <w:t xml:space="preserve">Quelle: </w:t>
      </w:r>
      <w:r>
        <w:t>https://mcp.opencaselaw.ch/entscheid/vd_findinfo_HC___2010___643</w:t>
      </w:r>
    </w:p>
    <w:p>
      <w:r>
        <w:t>FR: VD_FINDINFO HC / 2010 / 643 du 26 novembre 2010</w:t>
      </w:r>
    </w:p>
    <w:p>
      <w:r>
        <w:t>IT: VD_FINDINFO HC / 2010 / 643 del 26 novembre 2010</w:t>
      </w:r>
    </w:p>
    <w:p>
      <w:pPr>
        <w:pStyle w:val="Heading2"/>
      </w:pPr>
      <w:r>
        <w:t>Regeste</w:t>
      </w:r>
    </w:p>
    <w:p>
      <w:r>
        <w:t>SIMULATION | 19 CO</w:t>
      </w:r>
    </w:p>
    <w:p>
      <w:pPr>
        <w:pStyle w:val="Heading2"/>
      </w:pPr>
      <w:r>
        <w:t>Erwägungen</w:t>
      </w:r>
    </w:p>
    <w:p>
      <w:r>
        <w:rPr>
          <w:b/>
        </w:rPr>
        <w:t>E. 1</w:t>
      </w:r>
    </w:p>
    <w:p>
      <w:r>
        <w:t>Les art. 444, 445 et 451 ch. 2 CPC, applicables par le renvoi de l'art. 13 LTB (loi du 13 décembre 1981 sur le Tribunal des baux; RSV 173.655), ouvrent la voie des recours en nullité et en réforme contre les jugements principaux rendus par le Tribunal des baux. Le recours tend principalement à la réforme, subsidiairement à la nullité. Interjeté en temps utile, par une personne qui y a intérêt, il est ainsi recevable. En règle générale, le Tribunal cantonal délibère en premier lieu sur les moyens de nullité (art. 470 al. 1 CPC). Saisie d'un recours en nullité, la Chambre des recours n'examine que les moyens expressément soulevés (Poudret/Haldy/Tappy, Procédure civile vaudoise, 3ème éd., Lausanne 2002, n. 2 ad art. 465 CPC, p. 722). La recourante n’en invoque aucun, de sorte que son recours en nullité est irrecevable. Il convient dès lors d'examiner le recours en réforme.</w:t>
      </w:r>
    </w:p>
    <w:p>
      <w:r>
        <w:rPr>
          <w:b/>
        </w:rPr>
        <w:t>E. 2</w:t>
      </w:r>
    </w:p>
    <w:p>
      <w:r>
        <w:t>a) Les conclusions en réforme ne sont ni nouvelles ni plus amples que celles de la première instance; elles sont donc recevables (art. 452 al. 1 CPC). b) Lorsqu'elle est saisie d'un recours en réforme interjeté contre un jugement principal rendu par le Tribunal des baux, la Chambre des recours revoit librement la cause en fait et en droit (art. 452 al. 2 CPC, applicable par le renvoi de l'art. 13 LTB). Les parties ne peuvent toutefois pas articuler de faits nouveaux, sous réserve de ceux qui résultent du dossier et qui auraient dû être retenus ou de ceux pouvant résulter d'une instruction complémentaire selon l'art. 456a CPC (art. 452 al. 1ter CPC). Ainsi, la Chambre des recours développe son raisonnement juridique après avoir vérifié la conformité de l'état de fait du jugement aux preuves figurant au dossier et l'avoir, le cas échéant, corrigé ou complété au moyen de celles-ci (JT 2003 III 3 et 16). En l'espèce, l'état de fait du jugement est conforme aux pièces du dossier et aux autres preuves administrées. Il permet à la cour de céans de statuer à nouveau sur le fond.</w:t>
      </w:r>
    </w:p>
    <w:p>
      <w:r>
        <w:rPr>
          <w:b/>
        </w:rPr>
        <w:t>E. 3</w:t>
      </w:r>
    </w:p>
    <w:p>
      <w:r>
        <w:t>La recourante fait valoir l'incompétence ratione valoris du Tribunal des baux. Le litige portant sur l'existence ou la validité d'un contrat de bail immobilier relève de la compétence du Tribunal des baux (Byrde/Giroud Walther/Hack, Procédures spéciales vaudoises, n. 12 ad art. 1 LTB; Higi, Zürcher Kommentar, n. 44 ad art. 274 CO; CREC I 13 janvier 2010/17).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ATF 133 III 295 c. 6.2, JT 2008 I 160; ATF 131 III 153 c. 5.1). En d'autres termes, il suffit, pour admettre la compétence du tribunal, que les faits qui constituent à la fois la condition de cette compétence et le fondement nécessaire de la prétention soumise à l'examen du tribunal soient allégués avec une certaine vraisemblance ("substanziiert behauptet"; ATF 131 III 153 précité; ATF 128 III 50 c. 2b/bb; Blätter für Zürcherische Rechtsprechung [ZR] 2003, n° 42, pp. 207 ss, spéc. p. 215). Pour se prononcer sur le mérite du déclinatoire, le juge doit se fonder sur les éléments du dossier en l'état du procès, sans procéder à une instruction d'office (JT 1995 III 34 c. 2a). La compétence du Tribunal des baux doit ainsi être admise aussitôt que l'existence d'un bail est invoquée et rendue vraisemblable par l'une des parties (CREC I 28 novembre 2007/589 c. 5 et 6). En l'espèce, le contrat de bail signé le 5 janvier 2004 par les parties, ainsi que le fait que les loyers convenus auraient été versés jusqu'en juin 2005, rendent l'existence d'un contrat de bail à loyer suffisamment vraisemblable, ce qui suffit pour fonder la compétence des premiers juges. A ce stade, il ne suffisait pas pour la recourante d'invoquer la simulation; elle devait l'établir avec un degré de vraisemblance tel que le résultat de la contre-preuve ne permette plus d'admettre, même au stade de la vraisemblance, l'existence d'un contrat de bail à loyer. Tel n'est pas le cas pour les motifs indiqués dans le jugement et dans les considérants exposés ci-dessous. De plus, rien n'indique que le paiement convenu de 3'600 fr. par mois "avait pour objet la couverture des intérêts et de l'amortissement de l'emprunt de 495'000 fr. contracté par l'intimée pour l'achat de l'appartement", comme le soutient la recourante. Celle-ci soutient que le jugement attaqué aurait méconnu la pièce 5, soit la décision du Juge de paix du 26 janvier 2007, qui relate le témoignage du mari de la recourante indiquant que le transfert de 130'000 fr. et le versement en espèces de 20'000 fr. ont été effectués pour le compte de l'intimée. Cependant, cette décision du Juge de paix ne fait que relater le témoignage sans le retenir. De toute manière, émanant de l'époux de la recourante qui a un intérêt propre à l'affaire, ce témoignage n'est pas probant. Enfin, la recourante ne peut pas fonder sa thèse sur ce témoignage, qui indique qu'il y avait une option d'achat futur en sa faveur et qu'elle devait racheter l'appartement une fois le couple divorcé. On en déduit au mieux pour la recourante que les parties se seraient servies du contrat de bail comme d'un moyen intermédiaire voulu et en aucun cas simulé.</w:t>
      </w:r>
    </w:p>
    <w:p>
      <w:r>
        <w:rPr>
          <w:b/>
        </w:rPr>
        <w:t>E. 4</w:t>
      </w:r>
    </w:p>
    <w:p>
      <w:r>
        <w:t>La recourante soutient qu’elle a simulé un contrat de bail afin de tromper la banque [...], qui n’aurait pas souhaité qu’elle acquière l’appartement en cause. Avec les premiers juges, il faut constater que rien ne permet de retenir une simulation. Que le mari de la recourante ait le cas échéant entendu ne vendre l’appartement précité à l’intimée que dans la perspective d’une revente à la recourante n’excluait pas qu’entre-temps un contrat de bail soit conclu pour couvrir les charges de l’immeuble. La recourante, qui supportait le fardeau de la preuve d’une simulation, n’a apporté aucun élément rendant seulement vraisemblable que le contrat de bail conclu entre les parties était de nature à induire en erreur la banque [...]. On ne voit ainsi pas pourquoi celle-ci, alors qu’elle aurait demandé la vente forcée de l’immeuble (allégué 23 du procédé écrit de la recourante au Tribunal des baux), se serait opposé à une vente à la recourante alors qu’elle aurait ensuite consenti à une vente à l’intimée. Ce moyen doit dès lors être rejeté.</w:t>
      </w:r>
    </w:p>
    <w:p>
      <w:r>
        <w:rPr>
          <w:b/>
        </w:rPr>
        <w:t>E. 5</w:t>
      </w:r>
    </w:p>
    <w:p>
      <w:r>
        <w:t>La recourante conteste également le montant du loyer initial. a) Les premiers juges ont rappelé que, pour la fixation de ce loyer initial, il faut donner la préférence au critère absolu de fixation du loyer de la chose louée en analysant le rendement net obtenu, soit le rapport existant entre les fonds propres investis dans la chose remise à bail et le loyer après déduction des charges d'exploitation et des intérêts débiteurs sur les capitaux empruntés (TF 4C.287/2005 du 18 janvier 2006 c. 2.4). Est déterminant le jour de fixation du loyer initial dans le calcul du rendement des fonds propres. Lorsque l'immeuble a changé récemment de mains, on peut déterminer le montant des fonds propres en déduisant les fonds empruntés du prix de revient, puis déterminer le taux de rendement admissible. Est admissible un rendement n'excédant pas de 1/2 % le taux de l'intérêt hypothécaire de 1er rang pratiqué par la banque cantonale du lieu pour les anciennes hypothèques (ATF 122 III 257; ATF 120 II 100). Les premiers juges ont constaté que le prix d'achat de l'immeuble s'élevait à 645'000 fr., plus un montant forfaitaire de 32'250 fr. (soit 5 % du prix d'achat)  pour les frais de notaire, d'inscription au registre foncier et les droits de mutation selon l'acte de vente notarié, soit une somme de 677'250 fr., dont à déduire 528'125 fr. d'emprunts hypothécaires, si bien que le solde de 149'125 fr. représentait les fonds propres investis par la bailleresse. A l'époque de la conclusion du contrat, le taux hypothécaire de référence était de 3,25 %, si bien que le rendement admissible était de 5'592 fr. 19 (149'125 fr. x [3,25 % + 0,5 %]), auquel il faut ajouter les intérêts hypothécaires par 18'220 fr. 30, l'impôt immobilier par 361 fr. 20 et 5 % du loyer net à titre d'honoraires de gérance par 100 fr. 72; les charges d'exploitation s'élevaient donc à 24'274 fr. 41 par an (2'022 fr. 85 par mois). La recourante n'expose aucune argumentation à l'appui de ses conclusions relatives à la fixation du loyer initial. Les motifs exposés par les premiers juges pour justifier le montant à 2'022 fr. 85 par mois sont convaincants et peuvent être confirmés par adoption (art. 471 al. 3 CPC).</w:t>
      </w:r>
    </w:p>
    <w:p>
      <w:r>
        <w:rPr>
          <w:b/>
        </w:rPr>
        <w:t>E. 6</w:t>
      </w:r>
    </w:p>
    <w:p>
      <w:r>
        <w:t>En définitive, le recours est rejeté et le jugement confirmé. Les frais de deuxième instance de la recourante sont arrêtés à 5'162 fr. (art. 232 TFJC [tarif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A.L.________ sont arrêtés à 5'162 fr. (cinq mille cent soixante-deux francs). IV. L'arrêt motivé est exécutoire. Le président :               Le greffier : Du 26 novembre 2010 Le dispositif de l'arrêt qui précède est communiqué par écrit aux intéressés. Le greffier : Du L'arrêt qui précède, dont la rédaction a été approuvée à huis clos, est notifié en expédition complète, par l'envoi de photocopies, à : ‑ Me Alain Dubuis (pour A.L.________), ‑ Me Alexandre De Gorski (pour P.________ SA). La Chambre des recours considère que la valeur litigieuse est de 485'280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