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 vom 6. Januar 2010</w:t>
      </w:r>
    </w:p>
    <w:p>
      <w:r>
        <w:t>VD Tribunal cantonal, 2010-01-06, FR</w:t>
      </w:r>
    </w:p>
    <w:p>
      <w:r>
        <w:rPr>
          <w:b/>
        </w:rPr>
        <w:t xml:space="preserve">Quelle: </w:t>
      </w:r>
      <w:r>
        <w:t>https://mcp.opencaselaw.ch/entscheid/vd_findinfo_HC___2010___64</w:t>
      </w:r>
    </w:p>
    <w:p>
      <w:r>
        <w:t>FR: VD_FINDINFO HC / 2010 / 64 du 6 janvier 2010</w:t>
      </w:r>
    </w:p>
    <w:p>
      <w:r>
        <w:t>IT: VD_FINDINFO HC / 2010 / 64 del 6 gennaio 2010</w:t>
      </w:r>
    </w:p>
    <w:p>
      <w:pPr>
        <w:pStyle w:val="Heading2"/>
      </w:pPr>
      <w:r>
        <w:t>Regeste</w:t>
      </w:r>
    </w:p>
    <w:p>
      <w:r>
        <w:t>VOL{DROIT PÉNAL}, AFFILIATION À UNE BANDE | 139 ch. 1 CP, 139 ch. 3 CP, 415 CPP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1er CPP). Elle est cependant liée par les faits constatés dans le jugement attaqué, sous réserve des inadvertances manifestes, inexistantes en l'espèce, qu'elle rectifie d'office, ou d'éventuels compléments qui ressortiraient des pièces du dossier (art. 447 al. 2 CPP ; Bersier, Le recours à la Cour de cassation pénale du Tribunal cantonal en procédure vaudoise, in JT 1996 III 66 ss, spéc. ch. 8, pp. 70 s.).</w:t>
      </w:r>
    </w:p>
    <w:p>
      <w:r>
        <w:rPr>
          <w:b/>
        </w:rPr>
        <w:t>E. 1.4</w:t>
      </w:r>
    </w:p>
    <w:p>
      <w:r>
        <w:t>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 cit.). Dans le cas particulier, les premiers juges ont considéré que la culpabilité de l'accusé était lourde. Ils ont pris en considération les antécédents de l'accusé et le fait que les infractions avaient été commises en concours et sur une courte période. Ils ont plus particulièrement souligné le fait que F.________ n'avait pas hésité à récidiver alors qu'il avait déjà été condamné par le passé à des peines d'emprisonnement non négligeables, qu'il avait commis les délits qui lui sont reprochés au cours d'une cavale et qu'il avait immédiatement recommencé ses infractions dès son évasion et que son activité délictueuse n'avait pris fin que par son arrestation. La cour de céans ne peut que constater que les éléments pris en considération par les premiers juges sont pertinents et complets, que la peine se situe dans le cadre légal des peines encourues pour les infractions retenues à l'encontre du recourant et que celle-ci ne procède pas d'un abus de pouvoir d'appréciation. Sa quotité ne peut dès lors qu'être confirmée. Il conviendra toutefois de déduire de cette peine la détention subie depuis la fin de l'exécution de la peine précédente. Pour ce qui est du sursis, on relèvera que le recourant a été condamné le 23 mai 2008 par le Tribunal correctionnel de Lausanne à 30 mois de peine privative de liberté, sous déduction de 424 jours de détention préventive, pour notamment vol en bande et par métier, dommages à la propriété et violation de domicile. Il n'existe aucune circonstance particulièrement favorable au sens de l'art. 42 al. 2 in fine CP. Le sursis est dès lors exclu (art. 42 al. 2 CP) . Partant c'est avec raison que les premiers juges ont prononcé une peine ferme à l'encontre du recourant.</w:t>
      </w:r>
    </w:p>
    <w:p>
      <w:r>
        <w:rPr>
          <w:b/>
        </w:rPr>
        <w:t>E. 2</w:t>
      </w:r>
    </w:p>
    <w:p>
      <w:r>
        <w:t>a) Le recourant soutient qu'il doit être libéré du chef d'accusation de vol en bande, respectivement de tentative de vol en bande et que, de ce fait, sa peine doit être réduite en proportion. b) Selon la jurisprudence, il y a bande lorsque deux ou plusieurs personnes manifestent expressément ou par actes concluants la volonté de s'associer en vue de commettre ensemble plusieurs infractions indépendantes, même s'ils n'ont pas de plan et que les infractions futures ne sont pas encore déterminées (ATF 120 IV 317, JT 1996 IV 155). Pour l'admission de l'élément subjectif, il est essentiel que l'auteur ait connu et voulu la situation de fait dont le tribunal a déduit que le délinquant avait agi en qualité d'affilié à une bande. La circonstance de la bande doit être admise uniquement si l'intention de l'auteur porte sur la perpétration en commun de plusieurs délits (ATF 124 IV 286, JT 1999 IV 98; ATF 100 IV 219, JT 1975 IV 143). c) En l'occurrence, le recourant se limite à opposer sa propre version et sa propre appréciation des faits à celles des premiers juges pour déduire qu'il ne remplit pas la circonstance aggravante de la bande. On rappellera, comme déjà indiqué, que dans le cadre d'un recours en réforme, la cour de céans est liée par les faits constatés dans le jugement attaqué. Par conséquent, l'argumentation du recourant n'est pas recevable. Selon l'état de fait qui lie la Cour de cassation, les premiers juges ont considéré que F.________ avait agi en qualité de coauteur, soit qu'il avait collaboré intentionnellement et de manière déterminante avec son comparse à la décision de commettre une infraction, à son organisation et à son exécution et qu'il voulait dès lors pour siens les délits commis par son comparse et ceci même s'il ne choisissait pas lui-même les endroits à visiter. Ils ont en outre acquis la conviction que la bande formée par F.________ et L.________ était parfaitement organisée, stable et rôdée et que les participants avaient chacun un rôle interchangeable et qu'ils étaient tous deux indispensables au bon fonctionnement de l'organisation. Par ailleurs, de nombreux délits avaient été perpétrés durant un court laps de temps et seule leur arrestation avait mis fin à leurs activités délictueuses. Ces constatations factuelles ne pouvaient qu'amener les premiers juges à retenir que F.________ s'était bien rendu coupable de vol en bande et de tentative de vol en bande. Partant, le moyen, mal fondé, doit être rejeté. d) Pour ce qui est de la peine, on rappellera que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w:t>
      </w:r>
    </w:p>
    <w:p>
      <w:r>
        <w:rPr>
          <w:b/>
        </w:rPr>
        <w:t>E. 4</w:t>
      </w:r>
    </w:p>
    <w:p>
      <w:r>
        <w:t>En définitive, le recours est rejeté et le jugement confirmé. Les frais de deuxième instance, y compris l'indemnité allouée à son défenseur d'office,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