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637 vom 30. September 2010</w:t>
      </w:r>
    </w:p>
    <w:p>
      <w:r>
        <w:t>VD Tribunal cantonal, 2010-09-30, FR</w:t>
      </w:r>
    </w:p>
    <w:p>
      <w:r>
        <w:rPr>
          <w:b/>
        </w:rPr>
        <w:t xml:space="preserve">Quelle: </w:t>
      </w:r>
      <w:r>
        <w:t>https://mcp.opencaselaw.ch/entscheid/vd_findinfo_HC___2010___637</w:t>
      </w:r>
    </w:p>
    <w:p>
      <w:r>
        <w:t>FR: VD_FINDINFO HC / 2010 / 637 du 30 septembre 2010</w:t>
      </w:r>
    </w:p>
    <w:p>
      <w:r>
        <w:t>IT: VD_FINDINFO HC / 2010 / 637 del 30 settembre 2010</w:t>
      </w:r>
    </w:p>
    <w:p>
      <w:pPr>
        <w:pStyle w:val="Heading2"/>
      </w:pPr>
      <w:r>
        <w:t>Regeste</w:t>
      </w:r>
    </w:p>
    <w:p>
      <w:r>
        <w:t>FIXATION DE LA PEINE, MOTIVATION DE LA DÉCISION | 47 CP, 50 CP, 411 let. h CPP,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Sous l'angle de la nullité, le recourant tient le jugement pour contradictoire au sens de l'art. 411 let. h CPP dans la mesure où il retient, d'une part, qu'il avait rassuré l'une de ses victimes et, d'autre part, qu'il avait fait preuve d'une absence particulière de scrupules. Si le recourant s'est effectivement montré rassurant envers W.________, il a entrepris de faire parler l'ami de celle-ci afin qu'il révèle l'emplacement de la drogue et du produit de la vente des stupéfiants. Pour parvenir à ses fins, il s'est livré, avec son comparse, à des actes de violence d'une brutalité peu commune. W.________ ne s'est pas remise de l'agression, dont elle présente des séquelles psychiques. Il est indéniable que le comportement du recourant était dénué de tout scrupule en ce sens que l'auteur s'était, pour des motifs futiles et vains, livré à une débauche de violence à l'encontre d'un homme dont il n'avait pas eu à souffrir. La brutalité de l'auteur est en outre éclairée d'un jour particulièrement cru par l'épisode du marteau mis à chauffer sur une plaque électrique, au moyen duquel des coups ont été assénés sur le corps et à la tête de la victime. Les propos rassurants adressés à la femme n'y changent rien. Mal fondé, ce premier moyen doit être rejeté.</w:t>
      </w:r>
    </w:p>
    <w:p>
      <w:r>
        <w:rPr>
          <w:b/>
        </w:rPr>
        <w:t>E. 3</w:t>
      </w:r>
    </w:p>
    <w:p>
      <w:r>
        <w:t>Toujours au bénéfice de l'art. 411 let. h CPP, le recourant soutient ensuite que le jugement est lacunaire dans la mesure où il passe sous silence des déclarations de parties faites aux débats. a)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b) Le moyen est dès lors irrecevable. Aurait-il même été entré en matière qu'il n'en aurait pas moins dû être rejeté. En effet, le premier juge n'est pas obligé d'exposer les faits de la cause dans leurs moindres détails. En l'espèce, le jugement retient, en relatant les explications faites par le recourant à l'audience qu'au moment des faits incriminés, l'intéressé traversait une mauvaise passe avec son amie alors qu'il venait d'arrêter son travail, qu'il était désargenté et qu'il recherchait du cannabis. Ces précisions sont suffisantes pour apprécier la situation personnelle du recourant.</w:t>
      </w:r>
    </w:p>
    <w:p>
      <w:r>
        <w:rPr>
          <w:b/>
        </w:rPr>
        <w:t>E. 4</w:t>
      </w:r>
    </w:p>
    <w:p>
      <w:r>
        <w:t>Fondé sur l'art. 411 let. i CPP, le dernier moyen de nullité du recours est déduit du fait qu'aucune expertise n'a été mise en œuvre par le tribunal correctionnel quant à la capacité de l'accusé de s'abstenir de boire de l'alcool le jour des faits. a) Le principe de la bonne foi – qui constitue un principe général du droit également applicable dans le domaine de la procédure – oblige celui qui constate un prétendu vice de procédure à la signaler immédiatement, à un moment où il pourrait encore être corrigé, et lui interdit d'attendre en restant passif afin de pouvoir s'en prévaloir ultérieurement devant l'autorité de recours (TF 6B_61/2010, 27 juillet 2010, c. 1.2). b) L'expertise sur laquelle s'est fondé le tribunal correctionnel avait été établie dans le cadre d'une précédente procédure. Datée du 8 février 2008, elle peut être considérée comme récente sachant que les infractions ici en cause remontent au 11 novembre 2009. Or, l'expert n'a pas retenu une dépendance éthylique, tout en posant le diagnostic suivant : "troubles mentaux et du comportement liés à l'utilisation d'alcool nocive pour la santé". La dépendance éthylique n'étant pas retenue, il aurait été sans objet pour les premiers juges de mettre en œuvre une expertise complémentaire pour répondre à la question posée par le recourant. Au surplus, celui-ci n'a pris aucune conclusion incidente dans ce sens, dont le rejet lui aurait ouvert la voie du moyen en nullité de l'art. 411 let. f CPP. Conformément à la jurisprudence résumée ci-dessus, il est contraire à la bonne foi de faire valoir des moyens qui auraient pu être soulevés plus tôt dans la procédure pour le seul motif que le plaideur n'est pas satisfait du résultat. Il aurait donc appartenu au recourant de soulever auparavant déjà l'argument dont il se prévaut à présent. Faute pour lui de l'avoir fait, le moyen doit être écarté. Le recours en nullité doit donc être rejeté.</w:t>
      </w:r>
    </w:p>
    <w:p>
      <w:r>
        <w:rPr>
          <w:b/>
        </w:rPr>
        <w:t>E. 5</w:t>
      </w:r>
    </w:p>
    <w:p>
      <w:r>
        <w:t>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6</w:t>
      </w:r>
    </w:p>
    <w:p>
      <w:r>
        <w:t>Le premier moyen de réforme du recours est déduit du caractère arbitrairement sévère de la peine, soit d'une violation de l'art. 47 CP. 6.1a)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6.2</w:t>
      </w:r>
    </w:p>
    <w:p>
      <w:r>
        <w:t>En l’espèce, les premiers juges ont estimé que la culpabilité du recourant était lourde. A charge, ils ont retenu les antécédents du recourant, la violence parfaitement gratuite dont l'auteur avait fait preuve au préjudice de l'une des victimes, le caractère prémédité de l'agression, l'absence de scrupules de l'intéressé et son manque de prise de conscience. Au surplus, les premiers juges ont tenu sa responsabilité pénale pour entière, attendu que le recourant n'était pas dépendant de l'alcool et qu'il savait parfaitement qu'en consommant des boissons alcoolisées, il prenait le risque de commettre de nouvelles infractions. Le recourant doit ainsi se voir opposer une actio libera in causa. Partant, l'art. 19 al. 1 à 3 CP est inapplicable, de sorte qu'il n'y a pas lieu à réduction de peine (cf. ATF 120 IV 169, JT 1994 I 783). Au surplus, contrairement à ce que soutient le recourant, il ne peut être considéré comme un jeune adulte. En effet, il se trouvait alors dans sa 23 e année et était parfaitement à même d'apprécier la gravité de ses actes. A noter que la circonstance du jeune âge de l'auteur n'a pas été reprise lors de la révision de la Partie générale du Code pénal, le silence du nouvel art. 48 CP (atténuation de la peine) étant qualifié à cet égard (cf. Favre, Pellet et Stoudmann, Code pénal annoté, 3e éd., Lausanne 2007, n. 1.1 ad art. 48 CP). Au surplus, bien qu'étant âgé de moins de 25 ans au moment de l’infraction, il ne souffre pas de graves troubles du développement de la personnalité au sens de l'art. 61 al. 1 CP, norme dont le recourant ne demande du reste pas l'application. Le tribunal n’a pas tenu compte d’éléments étrangers à l’art. 47 CP. Les éléments retenus, à charge et à décharge, sont ainsi pertinents. Au surplus, aucun élément déterminant au regard de l'art. 47 CP n'a été omis, respectivement ne s'est vu conférer une portée excessive ou insuffisante. Le bon comportement en prison et les excuses présentées aux victimes, dont excipe l'intéressé, n'y changent rien. En effet, le recourant n'a guère évolué et n'a donc pas pris conscience de ses fautes. Il présente au contraire une tendance à s'apitoyer sur son sort (jugement, p. 11). La peine prononcée se situe dans le cadre légal. Une peine privative de liberté (d'ensemble) de trois ans et demi ne paraît nullement arbitrairement sévère, mais bien plutôt assez clémente compte tenu en particulier des lourds antécédents de l'auteur. Ce moyen doit donc être rejeté.</w:t>
      </w:r>
    </w:p>
    <w:p>
      <w:r>
        <w:rPr>
          <w:b/>
        </w:rPr>
        <w:t>E. 7</w:t>
      </w:r>
    </w:p>
    <w:p>
      <w:r>
        <w:t>Excipant d'un défaut de motivation du jugement quant à la quotité de la peine, le recourant se prévaut ensuite d'une fausse application de l'art. 50 CP. Comme déjà relevé, les éléments déterminants au regard de l'art. 47 CP figurent dans le jugement. En particulier, les premiers juges ont mentionné les éléments retenus à charge, à savoir le concours d'infractions, les lourds antécédents de l'auteur souvent pour des faits similaires, le mobile de l'infraction, le caractère prémédité de l'agression et la violence gratuite dont il avait fait preuve. Ils ont en outre mentionné les raisons pour lesquelles le recourant devait être considéré comme pleinement responsable de ses actes. Les premiers juges ont en outre décrit le comportement de l'accusé à l'audience et la manière dont l'intéressé appréciait ses actes. Sur la base de ces éléments, appréciés et énoncés à satisfaction, le jugement qualifie la culpabilité de l'auteur au vu notamment du manque de prise de conscience de l'intéressé. Cette motivation satisfait aux exigences de l'art. 50 CP. Ce moyen doit donc aussi être rejeté.</w:t>
      </w:r>
    </w:p>
    <w:p>
      <w:r>
        <w:rPr>
          <w:b/>
        </w:rPr>
        <w:t>E. 8</w:t>
      </w:r>
    </w:p>
    <w:p>
      <w:r>
        <w:t>Le recourant excipe enfin d'une violation des règles sur le sursis partiel (art. 43 CP), mais uniquement en relation avec son moyen dirigé contre la quotité de la peine déduit de l'art. 47 CP. Or, il a été vu que la mesure de la peine privative de liberté devait être confirmée. Sa quotité exclut le sursis, même partiel (art. 43 al. 1, a contrario, CP).</w:t>
      </w:r>
    </w:p>
    <w:p>
      <w:r>
        <w:rPr>
          <w:b/>
        </w:rPr>
        <w:t>E. 9</w:t>
      </w:r>
    </w:p>
    <w:p>
      <w:r>
        <w:t>En conclusion, le recours doit être rejeté en application de l'art. 431 al. 2 CPP et le jugement confirmé. Vu l'issue du recours, les frais de deuxième instance, y compris l'indemnité allouée à son défenseur d'office, par 600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