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634 vom 17. September 2010</w:t>
      </w:r>
    </w:p>
    <w:p>
      <w:r>
        <w:t>VD Tribunal cantonal, 2010-09-17, FR</w:t>
      </w:r>
    </w:p>
    <w:p>
      <w:r>
        <w:rPr>
          <w:b/>
        </w:rPr>
        <w:t xml:space="preserve">Quelle: </w:t>
      </w:r>
      <w:r>
        <w:t>https://mcp.opencaselaw.ch/entscheid/vd_findinfo_HC___2010___634</w:t>
      </w:r>
    </w:p>
    <w:p>
      <w:r>
        <w:t>FR: VD_FINDINFO HC / 2010 / 634 du 17 septembre 2010</w:t>
      </w:r>
    </w:p>
    <w:p>
      <w:r>
        <w:t>IT: VD_FINDINFO HC / 2010 / 634 del 17 settembre 2010</w:t>
      </w:r>
    </w:p>
    <w:p>
      <w:pPr>
        <w:pStyle w:val="Heading2"/>
      </w:pPr>
      <w:r>
        <w:t>Regeste</w:t>
      </w:r>
    </w:p>
    <w:p>
      <w:r>
        <w:t>EXPULSION DE LOCATAIRE, EXÉCUTION FORCÉE, DÉPENS | 518 CPC, 94 CPC, 20 LPEBL, 21 LPEBL, 22 LPEBL</w:t>
      </w:r>
    </w:p>
    <w:p>
      <w:pPr>
        <w:pStyle w:val="Heading2"/>
      </w:pPr>
      <w:r>
        <w:t>Erwägungen</w:t>
      </w:r>
    </w:p>
    <w:p>
      <w:r>
        <w:rPr>
          <w:b/>
        </w:rPr>
        <w:t>E. 1</w:t>
      </w:r>
    </w:p>
    <w:p>
      <w:r>
        <w:t>La procédure d'exécution forcée d'une ordonnance d'expulsion est partiellement réglée par les art. 20 et 21 LPEBL (loi du 18 mai 1955 sur la procédure d'expulsion en matière de baux à loyer et à ferme; RSV 221.305). L'art. 22 LPEBL prévoit que l'expulsion forcée suit au surplus les règles du CPC sur l'exécution. Selon l'art. 518 CPC, lorsque l'exécution est terminée, le juge arrête les dépens à la charge de la partie contre laquelle l'exécution a été opérée. En matière non contentieuse, domaine dont relève l'exécution forcée (JT 1983 III 112), l'art. 488 let. f CPC renvoie aux règles de la procédure contentieuse en ce qui concerne les dépens. L'art. 94 al. 1 CPC institue un recours au Tribunal cantonal contre la décision relative à l'adjudication des dépens, alors même que la décision au fond n'est pas attaquée. Selon la jurisprudence, la recevabilité de ce recours est subordonnée à l'existence d'une voie de recours autre qu'en nullité contre la décision dont celle sur dépens est l'accessoire (Poudret/Haldy/Tappy, Procédure civile vaudoise, 3 ème éd., Lausanne 2002, n. 1 ad art. 94 CPC, p. 186). En l'espèce, cette condition est remplie, la décision mettant fin à l'exécution forcée étant susceptible d'être attaquée par la voie du recours non contentieux (Guignard, in Procédures spéciales vaudoises, 2008, n. 3 ad art. 22 LPEBL, p. 208 et références). Le recours, interjeté en temps utile, est par conséquent recevable en la forme.</w:t>
      </w:r>
    </w:p>
    <w:p>
      <w:r>
        <w:rPr>
          <w:b/>
        </w:rPr>
        <w:t>E. 2</w:t>
      </w:r>
    </w:p>
    <w:p>
      <w:r>
        <w:t>Saisie d'un recours sur les dépens, la cour de céans revoit librement la cause en fait et en droit (art. 94 al. 4 CPC).</w:t>
      </w:r>
    </w:p>
    <w:p>
      <w:r>
        <w:rPr>
          <w:b/>
        </w:rPr>
        <w:t>E. 3</w:t>
      </w:r>
    </w:p>
    <w:p>
      <w:r>
        <w:t>a) En vertu de l'art. 518 CPC, les dépens comprennent les frais d'exécution forcée (JT 1982 III 34), en particulier le coupon de justice (art. 91 let. a CPC) et les factures des corps de métier oeuvrant à l'exécution forcée de la décision du juge (cf. CREC I du 4 octobre 2004/721 et CREC I du 5 août 2005/548), notamment les frais de déménagement et de serrurier (Guignard, op. cit., n. 3 ad art. 22 LPEBL, p. 207). Selon la jurisprudence, les frais d'exécution forcée font partie des dépens, que le juge arrête lorsque l'exécution forcée est terminée et met à la charge de la partie contre laquelle l'exécution a été opérée (JT 1982 III 34 précité, spéc. p. 39; Poudret/Haldy/Tappy, op. cit., note ad art. 518 CPC, p. 796). En matière de dépens après exécution forcée, l'art. 518 CPC prévoit qu'ils peuvent être mis « à la charge de la partie contre laquelle l'exécution a été opérée ». Il convient dès lors d’examiner si l’exécution forcée a en l'espèce été opérée à bon escient. b) La restitution des clés correspond symboliquement à la restitution des locaux (Lachat, Le bail à loyer, 2008, p. 815). Il incombe alors au bailleur d'en informer le juge, ce dernier ne pouvant déclarer une requête d'exécution forcée sans objet sur la base de la seule déclaration du locataire (CREC I du 18 mars 2009/153). c) En l'espèce, le recourant soutient qu’il se serait rendu dans les bureaux de la Justice de paix la veille du jour fixé pour l’exécution forcée pour signaler que l'appartement était vide et qu'il n'aurait donc pas été nécessaire de procéder aux opérations d'exécution forcée. Il ajoute que, lorsqu'il a remis les clés, il lui aurait été répondu qu'il devait « être à 8 h. sur place pour éviter les frais ». Au surplus, il se réfère aux indications que la Justice de paix a données à l'assistant social pour qu'il lui trouve une solution et qu'il lui explique comment éviter d'avoir à payer des frais. Le 26 août 2010, la Chambre des recours a demandé à la Juge de paix de se déterminer sur les allégations du recourant. Par courrier du 2 septembre 2010, la Juge de paix a répondu que, contrairement à ce qu'il avait affirmé, le recourant n'avait pas restitué les clés à son office la veille du jour prévu pour les opérations d'exécution forcée et que la requête n'avait donc pas été retirée. Force est dès lors de constater que les opérations qui se sont déroulées le 5 novembre 2009 ont eu lieu à bon escient. Certes, comme l'indique le procès-verbal établi par l'huissier, la serrure n'a pas été changée. Cela s'explique toutefois par le fait que le serrurrier, qui s'est rendu sur place, n'a finalement pas eu besoin de procéder à l'ouverture forcée de l'appartement, le locataire présent ayant rendu toutes les clés de l'appartement. A cet égard, la mention manuscrite « au représentant du propriétaire », que l'huissier a apposée sur le procès-verbal, se rapporte bien à l'annotation "les clefs sont remises" qui figure juste au-dessus. Dès lors, le montant de 483 fr. mis à la charge du recourant à titre de dépens, tel qu'explicité par la Juge de paix dans sa motivation du 9 mars 2010, est justifié. Il n'a d'ailleurs pas été remis en cause comme tel.</w:t>
      </w:r>
    </w:p>
    <w:p>
      <w:r>
        <w:rPr>
          <w:b/>
        </w:rPr>
        <w:t>E. 4</w:t>
      </w:r>
    </w:p>
    <w:p>
      <w:r>
        <w:t>Il s'ensuit que le recours doit être rejeté et le prononcé confirmé. Les frais de deuxième instance du recourant sont arrêtés à 80 fr. (art. 230 al. 1 TFJC [tarif du 4 décembre 1984 des frais judiciaires en matière civile; RSV 270.11.5). Ayant obtenu gain de cause, l'intimée a droit au montant de 50 fr. à titre de dépens de deuxième instance (art. 92 al. 1 CPC). Par ces motifs, la Chambre des recours du Tribunal cantonal, statuant à huis clos, prononce : I. Le recours est rejeté. II. Le prononcé est confirmé. III. Les frais de deuxième instance du recourant sont arrêtés à 80 fr. (huitante francs). IV. Le recourant N.________ doit verser à l'intimée G.________ la somme de 50 fr. (cinquante francs) à titre de dépens de deuxième instance. 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 N.________, ‑ M. Youri Diserens, agent d'affaires breveté (pour G.________). La Chambre des recours considère que la valeur litigieuse est de 483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