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63 vom 3. Dezember 2009</w:t>
      </w:r>
    </w:p>
    <w:p>
      <w:r>
        <w:t>VD Tribunal cantonal, 2009-12-03, FR</w:t>
      </w:r>
    </w:p>
    <w:p>
      <w:r>
        <w:rPr>
          <w:b/>
        </w:rPr>
        <w:t xml:space="preserve">Quelle: </w:t>
      </w:r>
      <w:r>
        <w:t>https://mcp.opencaselaw.ch/entscheid/vd_findinfo_HC___2010___63</w:t>
      </w:r>
    </w:p>
    <w:p>
      <w:r>
        <w:t>FR: VD_FINDINFO HC / 2010 / 63 du 3 décembre 2009</w:t>
      </w:r>
    </w:p>
    <w:p>
      <w:r>
        <w:t>IT: VD_FINDINFO HC / 2010 / 63 del 3 dicembre 2009</w:t>
      </w:r>
    </w:p>
    <w:p>
      <w:pPr>
        <w:pStyle w:val="Heading2"/>
      </w:pPr>
      <w:r>
        <w:t>Regeste</w:t>
      </w:r>
    </w:p>
    <w:p>
      <w:r>
        <w:t>COMMERCE DE STUPÉFIANTS, DÉTENTION DE STUPÉFIANTS, LOI FÉDÉRALE SUR LES STUPÉFIANTS ET LES SUBSTANCES PSYCHOTROPES, MOTIVATION DE LA DÉCISION, INTERDICTION DE L'ARBITRAIRE, DOUTE, FIXATION DE LA PEINE | 47 CP, 373 al. 2 let. b CPP, 411 let. g CPP, 411 let. i CPP, 447 CPP, 19 ch. 2 let. a LStup</w:t>
      </w:r>
    </w:p>
    <w:p>
      <w:pPr>
        <w:pStyle w:val="Heading2"/>
      </w:pPr>
      <w:r>
        <w:t>Erwägungen</w:t>
      </w:r>
    </w:p>
    <w:p>
      <w:r>
        <w:rPr>
          <w:b/>
        </w:rPr>
        <w:t>E. 1</w:t>
      </w:r>
    </w:p>
    <w:p>
      <w:r>
        <w:t>Invoquant l'art. 411 let. g CPP, le recourant allègue que la motivation des premiers juges portant sur la quotité de la peine infligée est insuffisante. En cela, il soutient que le tribunal a violé l'art. 373 al. 2 let. b CPP. a) L'art. 411 let. g CPP ouvre la voie du recours en nullité s'il y a eu une violation d'une règle essentielle de procédure et que cette violation a été de nature à influer sur la décision attaquée. S'agissant des éléments de droit, l'art. 373 al. 2 let. b CPP pose quant à lui la règle selon laquelle le jugement doit contenir des considérants permettant de comprendre, au moins dans les grandes lignes, les motifs sur la base desquels le tribunal a fondé sa conviction. L'art. 373 al. 2 let. b CPP relatif aux considérants de droit constitue une règle essentielle de procédure, dont la violation tombe sous le coup de l'art. 411 let. g CPP (Bovay et alii., op. cit., n. 3.4 ad art. 373, p. 414, et n. 9.11 ad art. 411, p. 479). b) En l'espèce, les premiers juges ont considéré que la culpabilité du recourant était lourde en se fondant notamment sur la durée de la commission des actes pénalement répréhensibles, sur l'ampleur que ses actes avaient pris et sur leur terme qui n'était arrivé qu'en raison de l'arrestation du recourant. Ils ont en outre pris en compte dans leur raisonnement la quantité de drogue en jeu, la position hiérarchique du recourant dans le trafic et le concours d'infractions commises. Le caractère illégal de son séjour en Suisse, ainsi que l'absence de regrets ou de remords ou encore la minimisation systématique des infractions commises sont également des éléments soulevés par le tribunal dans l'appréciation des faits à charge de l'accusé. A décharge, il a retenu l'absence d'antécédents du recourant et sa relative bonne collaboration en cours d'enquête (cf. jgt, p. 9). Au vu de ce qui précède, la motivation des premiers juges portant sur la quotité de la peine apparaît suffisante pour comprendre les motifs sur la base desquels ils ont fondé leur conviction. Sous l'angle du moyen de nullité invoqué, leur motivation ne souffre ainsi aucune critique. D'ailleurs, cette motivation correspond aux exigences posées par le Tribunal fédéral en ce qui concerne la motivation de la peine. En effet, le jugement doit indiquer les éléments essentiels au regard de la culpabilité pour ce qui est de la personnalité de l'auteur d'une part et des actes commis d'autre part, de façon à ce que l'on puisse vérifier si toutes les circonstances aggravantes et atténuantes ont été prises en considération et quel poids a été accordé à chacune d'entre elles, ce qui ne signifie pas pour autant que le juge doivent raisonner en terme de pourcents ou de chiffres absolus (Favre/Pellet/Stoudmann, Code pénal annoté, 3 ème éd., 2007, n. 1.3 ad art. 50 CP, pp. 185-186; Commentaire romand, n. 21 ad art. 50 CP, p. 516). Mal fondé, le moyen doit ainsi être rejeté.</w:t>
      </w:r>
    </w:p>
    <w:p>
      <w:r>
        <w:rPr>
          <w:b/>
        </w:rPr>
        <w:t>E. 2</w:t>
      </w:r>
    </w:p>
    <w:p>
      <w:r>
        <w:t>En réforme, le recourant soutient que la peine infligée par les premiers juges l'a été sur la base de critère étrangers à l'art. 47 CP ou sans tenir compte d'éléments d'appréciation prévus par cette disposition. Il considère en outre que la peine est exagérément sévère en comparaison à d'autres affaires de trafic de cocaïne portant sur des quantités de drogues plus importantes.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 et alii, op. cit., n. 1.4 ad art. 415 CPP et les réf. cit., p. 497;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En matière de trafic de stupéfiants, il y a lieu de tenir compte, plus spécialement, des circonstances suivantes.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qu'elle est diluée plus que normalement (ATF 122 IV 299 c. 2c; ATF 121 IV 193 c.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(TF 6B_297/2008 du 19 juin 2008 c. 5.1.2). Outre les éléments qui portent sur l'acte lui-même, le juge doit prendre en considération la situation personnelle du délinquant.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ATF 118 IV 342 c. 2d; TF 6S.21/2002 du 17 avril 2002 c. 2c). b) 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accusés différents (ATF 120 IV 136 c. 3a; ATF 116 IV 292 précité). En effet, selon la jurisprudence constante du Tribunal fédéral, le principe de l'individualisation de la peine et le large pouvoir conféré par la loi au juge dans la fixation de celle-ci conduisent nécessairement à une certaine inégalité dont le législateur s'est accommodé. Les diverses pondérations entre les critères déterminants sont notamment la conséquence de la libre appréciation des preuves par le juge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de notre système juridique (Wiprächtiger, Basler Kommentar, Strafrecht I, 2 e éd., 2007, n. 159 ad art. 47 CP, pp. 876 s. et les réf. cit.).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En outre, la jurisprudence a affirmé la primauté du principe de la légalité sur celui de l'égalité. Il ne suffit pas que la loi ait été mal appliquée dans un cas pour que l'accusé puisse prétendre à un droit à l'égalité dans l'illégalité (ATF 122 II 446 c. 4a; ATF 124 IV 44 c. 2c). c) En l'espèce, le recourant reproche premièrement au tribunal de n'avoir pas accordé de poids à sa situation personnelle, en particulier au fait qu'il était analphabète et qu'il avait vécu dans son pays dans des conditions misérables. Un jugement forme un tout. Rien n'autorise le recourant à penser que les premiers juges n'avaient pas à l'esprit qu'il était sans formation et qu'il avait connu des conditions de vie qui étaient rudes durant son enfance et son adolescence. Ils en font précisément état dans leur jugement. Néanmoins, il ne convient pas non plus, comme le fait le recourant, de donner à ces circonstances un poids qu'elles n'ont pas. L'analphabétisme n'est pas une circonstance qui, dans les conditions d'espèce, permet de relativiser la gravité de ses agissements. Il n'en va pas différemment des conditions de vie qu'il a connues, malgré leur dureté. Dans ces conditions, on ne peut faire grief au tribunal de n'avoir pas élevé au rang de circonstances à décharge la situation personnelle de l'accusé. C'est également en vain que le recourant conteste sa qualité de "semi-grossiste" que les premiers juges ont retenue à charge dans la fixation de sa peine. En effet, par ce moyen, il remet en cause l'état de fait du jugement attaqué, alors que celui-ci lie la cour de céans dans le cadre du recours en réforme. Son moyen est dès lors irrecevable. Quand bien même il aurait été recevable, il aurait de toute manière dû être rejeté. Le jugement retient en effet (p. 9) que le recourant ne vendait pas seulement à des consommateurs, mais aussi à des revendeurs. En outre, les livraisons qui lui étaient destinées portaient sur des quantités totalement inhabituelles pour un vendeur de rue. C'est donc à juste titre que les premiers juges ont retenu que le trafic du recourant s'apparentait à celui d'un semi-grossiste. Le recourant considère encore que les premiers juges ont fait de ses déclarations relatives à son départ de la Suisse pour le Mali une circonstance aggravante. On ne voit cependant pas sur quoi se fonde cette déclaration péremptoire. Le tribunal, en relevant ces déclarations de l'accusé (cf. jgt, p. 9), a simplement voulu indiquer qu'il en doutait, ce qu'il était en droit de faire au vu des éléments en sa possession. Il ressort en effet du jugement que le recourant séjourne illégalement dans notre pays depuis plusieurs années et qu'il n'a jamais soutenu avoir apporté une aide quelconque à ses proches par ses revenus illicitement acquis. L'infraction de blanchiment d'argent ne lui est d'ailleurs pas reprochée. Au demeurant, T.________ ne souhaite plus retourner dans son pays, si bien que cette question ne mérite pas de plus amples considérations. Enfin, le recourant se livre à une comparaison avec d'autres affaires de trafic de drogue pour en déduire que la peine qui lui a été infligée est arbitrairement sévère. Comme mentionné ci-dessus (cf. c. II, ch. 2, let. b), une telle comparaison est d'emblée délicate lorsqu'elle porte sur des accusés différents, en raison des nombreux paramètres qui interviennent dans la fixation de la peine (cf. not. ATF 120 IV 136 c. 3a) et qui conduise ainsi à l'individualiser. Cette comparaison est ainsi généralement stérile (ATF 116 IV 292 précité, JT 1992 IV 104). Il n'en va pas différemment dans le cas présent où les arrêts cités par le recourant, s'ils traitent tous d'infractions à la LStup, concernent également d'autres types d'infractions, dont l'influence sur la quotité de la peine ne peut être déterminée, tout comme les circonstances subjectives qui ont conduit dans ces cas à prononcer les peines invoquées. Ce grief doit donc ainsi aussi être rejeté. En résumé, au moment de fixer la peine, les premiers juges ont considéré que la culpabilité du recourant était lourde. Ils ne se sont pas attachés au seul critère de la quantité de drogue, qui est un élément important, mais pas unique, pour fixer la sanction. C'est ainsi qu'ils ont considéré que l'accusé avait mis sur pied un trafic qui, au fil du temps, avait pris de plus en plus d'ampleur et qui n'avait cessé que par son arrestation. Ils ont également noté que le recourant occupait une place hiérarchiquement plus élevée que d'autres dans ce trafic, puisque son activité s'apparentait à celle d'un "semi-grossiste". Ils ont en outre qualifié sa consommation de cocaïne "des plus réduites" (cf. jgt., p. 6), ce qui permet d'affirmer que le mobile est celui de l'appât du gain. Enfin, toujours à charge, les premiers juges ont retenu qu'il avait systématiquement minimisé ses agissements et qu'il n'avait pas manifesté le moindre regret ou remords. S'ajoute encore à ces éléments le concours d'infractions. A décharge, le tribunal a relevé qu'il jugeait un délinquant primaire qui avait relativement bien collaboré en cours d'enquête. Les premiers juges ont ainsi pris en compte tous les éléments pertinents et ont motivé leur appréciation de manière complète et convaincante. Sur cette base, la peine prononcée n'apparaît pas arbitraire et peut dès lors être confirmée. Pour le surplus, la quotité de la peine prononcée et confirmée étant largement incompatible avec l'octroi d'un sursis complet ou partiel, le recours est sans objet lorsqu'il fait grief aux premiers juges d'avoir violé les art. 42 ou 43 CP.</w:t>
      </w:r>
    </w:p>
    <w:p>
      <w:r>
        <w:rPr>
          <w:b/>
        </w:rPr>
        <w:t>E. 3</w:t>
      </w:r>
    </w:p>
    <w:p>
      <w:r>
        <w:t>En conclusion, le recours doit être rejeté et le jugement confirmé. Le recourant, qui succombe, supportera les frais de deuxième instance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