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608 vom 19. November 2010</w:t>
      </w:r>
    </w:p>
    <w:p>
      <w:r>
        <w:t>VD Tribunal cantonal, 2010-11-19, FR</w:t>
      </w:r>
    </w:p>
    <w:p>
      <w:r>
        <w:rPr>
          <w:b/>
        </w:rPr>
        <w:t xml:space="preserve">Quelle: </w:t>
      </w:r>
      <w:r>
        <w:t>https://mcp.opencaselaw.ch/entscheid/vd_findinfo_HC___2010___608</w:t>
      </w:r>
    </w:p>
    <w:p>
      <w:r>
        <w:t>FR: VD_FINDINFO HC / 2010 / 608 du 19 novembre 2010</w:t>
      </w:r>
    </w:p>
    <w:p>
      <w:r>
        <w:t>IT: VD_FINDINFO HC / 2010 / 608 del 19 novembre 2010</w:t>
      </w:r>
    </w:p>
    <w:p>
      <w:pPr>
        <w:pStyle w:val="Heading2"/>
      </w:pPr>
      <w:r>
        <w:t>Regeste</w:t>
      </w:r>
    </w:p>
    <w:p>
      <w:r>
        <w:t>EXPULSION DE LOCATAIRE, INDEMNITÉ POUR OCCUPATION ILLICITE, MAXIME DE DISPOSITION, DEMEURE DU DÉBITEUR | 257d al. 1 CO, 267 al. 1 CO, 3 CPC, 1 LPEBL</w:t>
      </w:r>
    </w:p>
    <w:p>
      <w:pPr>
        <w:pStyle w:val="Heading2"/>
      </w:pPr>
      <w:r>
        <w:t>Erwägungen</w:t>
      </w:r>
    </w:p>
    <w:p>
      <w:r>
        <w:rPr>
          <w:b/>
        </w:rPr>
        <w:t>E. 1</w:t>
      </w:r>
    </w:p>
    <w:p>
      <w:r>
        <w:t>L'art. 23 al. 1 LPEBL (loi du 18 mai 1955 sur la procédure d'expulsion en matière de baux à loyer et à ferme; RSV 221.305) ouvre un recours au Tribunal cantonal: a) lorsque le juge était incompétent ou s'est déclaré à tort incompétent; b) pour absence d'assignation régulière; c) pour violation des règles essentielles de la procédure, lorsque l'informalité est de nature à influer sur le prononcé. Selon l'alinéa 2, il y a également recours au Tribunal cantonal pour déni de justice, ce recours pouvant aboutir soit à la réforme, soit à l'annulation de la décision attaquée (JT 2004 III 43 c. 1a). Toutefois, l'art. 23 al. 2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c. 2a; JT 2004 III 79; Guignard, in Procédures spéciales vaudoises, 2008, n.</w:t>
      </w:r>
    </w:p>
    <w:p>
      <w:r>
        <w:rPr>
          <w:b/>
        </w:rPr>
        <w:t>E. 4</w:t>
      </w:r>
    </w:p>
    <w:p>
      <w:r>
        <w:t>L'admission du présent recours est sans portée sur l'ordonnance attaquée en tant qu'elle concerne M.________, celle-ci n'ayant pas recouru (art. 3 CPC, applicable en deuxième instance [Poudret/Haldy/Tappy, Procédure civile vaudoise, 3 ème éd., 2002, n. 1 ad art. 3 CPC, p. 13] et au recours de la LPEBL par renvoi de l'art. 29 LPEBL).</w:t>
      </w:r>
    </w:p>
    <w:p>
      <w:r>
        <w:rPr>
          <w:b/>
        </w:rPr>
        <w:t>E. 5</w:t>
      </w:r>
    </w:p>
    <w:p>
      <w:r>
        <w:t>Obtenant gain de cause, le recourant, qui a agi par l'intermédiaire d'un mandataire professionnel, a droit à des dépens de première instance à la charge de l'intimée, fixés à 150 fr. (art. 91 et 92 CPC).</w:t>
      </w:r>
    </w:p>
    <w:p>
      <w:r>
        <w:rPr>
          <w:b/>
        </w:rPr>
        <w:t>E. 6</w:t>
      </w:r>
    </w:p>
    <w:p>
      <w:r>
        <w:t>En conclusion, le recours doit être admis et l'ordonnance réformée en ce sens que l'expulsion n'est ordonnée qu'à l'encontre de M.________, des dépens, par 150 fr., étant alloués à X.________ à la charge de I.________. Les frais de deuxième instance du recourant sont arrêtés à 300 fr. (art. 230 TFJC [tarif du 4 décembre 1984 des frais judiciaires en matière civile; RSV 270.11.5). Obtenant gain de cause, le recourant a droit à des dépens de deuxième instance fixés à 600 fr. (art. 91 et 92 CPC; art. 2 let. A ch. 3, art. 3 et 4 TAg [tarif du 22 février 1972 des honoraires d'agent d'affaires dus à titre de dépens; RSV 179.11.3]). Par ces motifs, la Chambre des recours du Tribunal cantonal, statuant à huis clos, prononce : I. Le recours est admis. II. L'ordonnance est réformée aux chiffres I à V de son dispositif comme il suit : I. Rejette la requête en tant qu'elle est dirigée contre X.________. II. Ordonne à M.________ de quitter et rendre libres pour le samedi 30 octobre 2010 à midi les locaux occupés dans l'immeuble sis [...], 1800 Vevey (appartement 1 pièce n° [...], 5 ème étage et une cave). III. Dit qu'à défaut de quitter volontairement ces locaux, M.________ y sera contrainte par la force, selon les règles prévues aux articles 508 et suivants du Code de procédure civile, étant précisé que : a)               l'exécution forcée aura lieu par les soins de l'huissier de paix ou de son remplaçant, sous la présidence du Juge de paix ; b)              l'office pourra pénétrer dans les locaux objets de cette ordonnance même par voie d'ouverture forcée, les agents de la force publique étant tenus, sur réquisition, de concourir à l'exécution forcée ; c)              la réquisition d'exécution forcée de la partie bailleresse devra intervenir dans les locaux deux mois suivant le délai fixé dans cette ordonnance, sous peine de caducité de l'ordonnance. IV. Arrête les frais de justice de la partie bailleresse à 100 fr. (cent francs). V. Dit qu'I.________ doit verser à X.________ la somme de 150 francs (cent cinquante francs) à titre de dépens. VI. Dit que la présente ordonnance est immédiatement exécutoire nonobstant recours. III. Les frais de deuxième instance du recourant sont arrêtés à 300 fr. (trois cents francs). IV. L'intimée I.________ doit verser au recourant X.________ la somme de 600 fr. (six cents francs) à titre de dépens de deuxième instance. V. L'arrêt motivé est exécutoire. Le président :               Le greffier : Du 19 novembre 2010 Le dispositif de l'arrêt qui précède est communiqué par écrit aux intéressés. Le greffier : Du L'arrêt qui précède, dont la rédaction a été approuvée à huis clos, est notifié à : ‑ M. François Chabloz (pour X.________), ‑ M. Daniel Schwab (pour I.________).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 Mme M.________.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