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603 vom 9. Juli 2010</w:t>
      </w:r>
    </w:p>
    <w:p>
      <w:r>
        <w:t>VD Tribunal cantonal, 2010-07-09, FR</w:t>
      </w:r>
    </w:p>
    <w:p>
      <w:r>
        <w:rPr>
          <w:b/>
        </w:rPr>
        <w:t xml:space="preserve">Quelle: </w:t>
      </w:r>
      <w:r>
        <w:t>https://mcp.opencaselaw.ch/entscheid/vd_findinfo_HC___2010___603</w:t>
      </w:r>
    </w:p>
    <w:p>
      <w:r>
        <w:t>FR: VD_FINDINFO HC / 2010 / 603 du 9 juillet 2010</w:t>
      </w:r>
    </w:p>
    <w:p>
      <w:r>
        <w:t>IT: VD_FINDINFO HC / 2010 / 603 del 9 luglio 2010</w:t>
      </w:r>
    </w:p>
    <w:p>
      <w:pPr>
        <w:pStyle w:val="Heading2"/>
      </w:pPr>
      <w:r>
        <w:t>Regeste</w:t>
      </w:r>
    </w:p>
    <w:p>
      <w:r>
        <w:t>MODÉRATION, AGENT D'AFFAIRES | 7 LPAg, 9 al. 3 LPAg, 98 LPA-VD</w:t>
      </w:r>
    </w:p>
    <w:p>
      <w:pPr>
        <w:pStyle w:val="Heading2"/>
      </w:pPr>
      <w:r>
        <w:t>Erwägungen</w:t>
      </w:r>
    </w:p>
    <w:p>
      <w:r>
        <w:rPr>
          <w:b/>
        </w:rPr>
        <w:t>E. 1</w:t>
      </w:r>
    </w:p>
    <w:p>
      <w:r>
        <w:t>Aux termes de l'art. 9 al. 3 LPAg (loi du 20 mai 1957 sur la profession d'agent d'affaires breveté; RSV 179.11), la décision de modération peut faire l'objet d'un recours au Tribunal cantonal, soit, dès le 1 er janvier 2008, à la Chambre des recours vu la suppression de la Cour de modération (art. 67 et 73 al. 2 LOJV [loi du 12 décembre 1979 d'organisation judiciaire; RSV 173.01]), et, plus précisément, à la deuxième Chambre des recours à défaut de réglementation spécifique dans le ROTC (règlement organique du Tribunal cantonal du 13 novembre 2007; RSV 173.31.1). Le délai de recours est de dix jours dès la communication de la décision (art. 9 al. 3 in fine LPAg). Déposé en temps utile, le recours est recevable.</w:t>
      </w:r>
    </w:p>
    <w:p>
      <w:r>
        <w:rPr>
          <w:b/>
        </w:rPr>
        <w:t>E. 2</w:t>
      </w:r>
    </w:p>
    <w:p>
      <w:r>
        <w:t>Aucune disposition de la LPAg (cf. art. 9) ne précise le pouvoir d'examen de la Chambre des recours. Dans un souci d'harmonisation avec la procédure de modération concernant les avocats, la cour de céans considère que la LPA-VD (loi du 28 octobre 2008 sur la procédure administrative; RSV 173.36) régit son pouvoir d'examen également pour la procédure de modération des agents d'affaires brevetés. Le recours permet ainsi d'invoquer la violation du droit, y compris l'excès ou l'abus du pouvoir d'appréciation, ainsi que la constatation inexacte ou incomplète des faits pertinents (art. 98 LPA-VD) (CREC II 20 juillet 2009/145).</w:t>
      </w:r>
    </w:p>
    <w:p>
      <w:r>
        <w:rPr>
          <w:b/>
        </w:rPr>
        <w:t>E. 3</w:t>
      </w:r>
    </w:p>
    <w:p>
      <w:r>
        <w:t>a) Aux termes de l'art. 7 LPAg, le Tribunal cantonal établit les principes applicables en matière d'honoraires dus à titre de dépens et en arrête le tarif (al. 1); dans les autres cas, les honoraires de l'agent d'affaires breveté sont fixés par analogie avec le tarif en tenant compte notamment de l'usage, de l'importance et de la difficulté de l'affaire et du résultat obtenu (al. 2). La jurisprudence applique les critères définis en matière d'honoraires d'avocats, et prend également en considération la situation financière du client, l'importance du capital litigieux, le coût de la vie, les frais généraux de l'agent d'affaires et l'expérience de celui-ci. En règle générale, les honoraires s'évaluent de façon globale, mais le juge modérateur est libre de recourir à la modération détaillée, d'office ou sur réquisition, s'il l'estime opportun vu les circonstances de l'espèce (Jomini, Les honoraires et débours de l'avocat vaudois et leur modération, in JT 1982 III 2,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(JT 1990 III 66; Jomini, op. cit., n. 6, p.</w:t>
      </w:r>
    </w:p>
    <w:p>
      <w:r>
        <w:rPr>
          <w:b/>
        </w:rPr>
        <w:t>E. 4</w:t>
      </w:r>
    </w:p>
    <w:p>
      <w:r>
        <w:t>Cela étant, le recours doit être admis et le prononcé annulé. Il ne se justifie pas de renvoyer le dossier à un autre tribunal que celui qui a déjà statué, ni, comme le sous-entend le recourant, à un juge spécialiste de la mainlevée. Par conséquent, le dossier est renvoyé au premier juge pour nouvelle instruction et nouvelle décision conformément au considérant précédent. Le présent arrêt est rendu sans frais. Par ces motifs, la Chambre des recours du Tribunal cantonal, statuant à huis clos, prononce : I. Le recours est admis. II. Le prononcé est annulé et le dossier renvoyé au Président du Tribunal civil de l'arrondissement de La Côte pour nouvelle instruction et nouvelle décision. III. L'arrêt est rendu sans frais. IV. L'arrêt motivé est exécutoire. Le président :               Le greffier : Du</w:t>
      </w:r>
    </w:p>
    <w:p>
      <w:r>
        <w:rPr>
          <w:b/>
        </w:rPr>
        <w:t>E. 9</w:t>
      </w:r>
    </w:p>
    <w:p>
      <w:r>
        <w:t>juillet 2010 Le dispositif de l'arrêt qui précède est communiqué par écrit aux intéressés. Le greffier : Du L'arrêt qui précède, dont la rédaction a été approuvée à huis clos, est notifié en expédition complète, par l'envoi de photocopies, à : ‑ Pascal Stouder (pour R.________), ‑ T.________. La Chambre des recours considère que la valeur litigieuse est de 1'676 francs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