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 vom 4. Dezember 2009</w:t>
      </w:r>
    </w:p>
    <w:p>
      <w:r>
        <w:t>VD Tribunal cantonal, 2009-12-04, FR</w:t>
      </w:r>
    </w:p>
    <w:p>
      <w:r>
        <w:rPr>
          <w:b/>
        </w:rPr>
        <w:t xml:space="preserve">Quelle: </w:t>
      </w:r>
      <w:r>
        <w:t>https://mcp.opencaselaw.ch/entscheid/vd_findinfo_HC___2010___6</w:t>
      </w:r>
    </w:p>
    <w:p>
      <w:r>
        <w:t>FR: VD_FINDINFO HC / 2010 / 6 du 4 décembre 2009</w:t>
      </w:r>
    </w:p>
    <w:p>
      <w:r>
        <w:t>IT: VD_FINDINFO HC / 2010 / 6 del 4 dicembre 2009</w:t>
      </w:r>
    </w:p>
    <w:p>
      <w:pPr>
        <w:pStyle w:val="Heading2"/>
      </w:pPr>
      <w:r>
        <w:t>Regeste</w:t>
      </w:r>
    </w:p>
    <w:p>
      <w:r>
        <w:t>DÉCISION SUR FRAIS, TRANSACTION JUDICIAIRE | 94 CPC, 1 TFJC</w:t>
      </w:r>
    </w:p>
    <w:p>
      <w:pPr>
        <w:pStyle w:val="Heading2"/>
      </w:pPr>
      <w:r>
        <w:t>Erwägungen</w:t>
      </w:r>
    </w:p>
    <w:p>
      <w:r>
        <w:rPr>
          <w:b/>
        </w:rPr>
        <w:t>E. 1</w:t>
      </w:r>
    </w:p>
    <w:p>
      <w:r>
        <w:t>On peut douter qu'en l'espèce, il s'agisse d'un recours sur les dépens, théoriquement possible en cas de transaction (Poudret/Haldy/Tappy, Procédure civile vaudoise,</w:t>
      </w:r>
    </w:p>
    <w:p>
      <w:r>
        <w:rPr>
          <w:b/>
        </w:rPr>
        <w:t>E. 3</w:t>
      </w:r>
    </w:p>
    <w:p>
      <w:r>
        <w:t>ème éd., 2002, n. 1 ad art. 94 CPC, p. 186, et n. 4 ad art. 158 CPC, p. 289). En effet, la transaction passée entre les parties au procès devant le Tribunal des baux prévoit la renonciation à l'allocation de dépens et admet que chaque partie garde ses frais. Le prononcé a arrêté les frais pour chaque partie, sans allouer de dépens, ce qu'il précise du reste au chiffre II de son dispositif. Le premier juge a calculé les frais effectifs, en application des dispositions de la LTB (loi sur le Tribunal des baux, RSV 173.655) et du TFJC (tarif des frais judiciaires en matière civile, RSV 270.11.5), puis les a mis à la charge de chacune des parties qui a procédé devant le Tribunal des baux. L'intimé E.________ n'avait pas encore procédé sur la requête introduite contre lui le 7 août 209 par les recourants, si bien qu'il n'y avait pas lieu de mettre des frais de justice à sa charge. Le recourant demande que les frais soient "partagés en trois". Ce faisant, il aimerait que E.________ participe d'une certaine manière à ses propres frais de justice. Or, il n'est pas habilité à formuler une telle conclusion, dans la mesure où il a, dans la transaction, expressément renoncé à l'allocation de dépens. Il en va de même de son épouse B.Z.________, qui n'a de toute manière pas qualité pour recourir faute d'un intérêt juridique, puisqu'elle n'est chargée d'aucuns frais. Pour le surplus, le recourant ne conteste pas la quotité des frais retenus par le premier juge dans le prononcé attaqué. Dès lors, le recours est irrecevable. 2. En définitive, le recours doit être déclaré irrecevable et le prononcé maintenu. Les frais de deuxième instance des recourants, solidairement entre eux (art. 5 al. 1 TFJC), sont arrêtés à 150 fr. (art. 232 TFJC). Par ces motifs, la Chambre des recours du Tribunal cantonal, statuant à huis clos, en application de l'art. 465 al. 1 CPC, prononce : I. Le recours est irrecevable. II. Le prononcé est maintenu. III. Les frais de deuxième instance des recourants A.Z.________ et B.Z.________, solidairement entre eux, sont arrêtés à 150 fr. (cent cinquante francs). IV. L'arrêt motivé est exécutoire. L e président : L e greffi er : Du 4 décembre 2009 Le dispositif de l'arrêt qui précède est communiqué par écrit aux intéressés. L e greffi er : Du L'arrêt qui précède, dont la rédaction a été approuvée à huis clos, est notifié en expédition complète, par l'envoi de photocopies, à : ‑      M. et Mme A.Z.________ et B.Z.________, ‑      M. B.________, -      M. E.________. La Chambre des recours considère que la valeur litigieuse est de 750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