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598 vom 3. September 2010</w:t>
      </w:r>
    </w:p>
    <w:p>
      <w:r>
        <w:t>VD Tribunal cantonal, 2010-09-03, FR</w:t>
      </w:r>
    </w:p>
    <w:p>
      <w:r>
        <w:rPr>
          <w:b/>
        </w:rPr>
        <w:t xml:space="preserve">Quelle: </w:t>
      </w:r>
      <w:r>
        <w:t>https://mcp.opencaselaw.ch/entscheid/vd_findinfo_HC___2010___598</w:t>
      </w:r>
    </w:p>
    <w:p>
      <w:r>
        <w:t>FR: VD_FINDINFO HC / 2010 / 598 du 3 septembre 2010</w:t>
      </w:r>
    </w:p>
    <w:p>
      <w:r>
        <w:t>IT: VD_FINDINFO HC / 2010 / 598 del 3 settembre 2010</w:t>
      </w:r>
    </w:p>
    <w:p>
      <w:pPr>
        <w:pStyle w:val="Heading2"/>
      </w:pPr>
      <w:r>
        <w:t>Regeste</w:t>
      </w:r>
    </w:p>
    <w:p>
      <w:r>
        <w:t>OBLIGATION D'ENTRETIEN, DROIT DE LA MÈRE NON MARIÉE | 145 al. 1 CC, 145 CC, 285 al. 1 CC, 285 al. 2 CC, 285 CC, 295 CC</w:t>
      </w:r>
    </w:p>
    <w:p>
      <w:pPr>
        <w:pStyle w:val="Heading2"/>
      </w:pPr>
      <w:r>
        <w:t>Erwägungen</w:t>
      </w:r>
    </w:p>
    <w:p>
      <w:r>
        <w:rPr>
          <w:b/>
        </w:rPr>
        <w:t>E. 1</w:t>
      </w:r>
    </w:p>
    <w:p>
      <w:r>
        <w:t>Le recours est dirigé contre un jugement principal rendu par un tribunal d'arrondissement dans le cadre d'une action en reconnaissance de paternité et d'aliments. Le recours en nullité (art. 444 et 445 CPC [Code de procédure civile du 14 décembre 1966, RSV 270.11]) et le recours en réforme (art. 451 ch. 2 CPC) sont ouverts.</w:t>
      </w:r>
    </w:p>
    <w:p>
      <w:r>
        <w:rPr>
          <w:b/>
        </w:rPr>
        <w:t>E. 2</w:t>
      </w:r>
    </w:p>
    <w:p>
      <w:r>
        <w:t>Le litige présente des éléments d'extranéité puisque le recourant est de nationalité étrangère. Les parties ne remettent à juste titre pas en cause la compétence du Tribunal de l'arrondissement de l'Est vaudois (art. 66, 68 al. 1, 79 al. 1, 83 al. 1 LDIP [loi sur le droit international privé du 18 décembre 1987, RS 291]), ni l'applicabilité du droit suisse, les époux ne partageant pas une nationalité commune (art. 61 al. 1 LDIP). Au surplus, on peut renvoyer au jugement attaqué sur ce point.</w:t>
      </w:r>
    </w:p>
    <w:p>
      <w:r>
        <w:rPr>
          <w:b/>
        </w:rPr>
        <w:t>E. 3</w:t>
      </w:r>
    </w:p>
    <w:p>
      <w:r>
        <w:t>a) Saisi d'un recours en réforme contre un jugement principal rendu par un tribunal d'arrondissement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l'article 374c CPC; JT 2006 III 8 c. 3b; Leuenberger, Basler Kommentar, 3ème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SJ 2005 I 442; ATF 131 III 91 c. 5.2.2). b) En l'espèce, l'état de fait du jugement attaqué est conforme aux pièces du dossier et aux preuves administrées. Il doit toutefois être complété sur la base des pièces produites en deuxième instance et de celles figurant au dossier comme il suit : - Par certificat du 22 mars 2010, le Dr [...] a déclaré avoir vu le recourant les 23 et 26 juin 2006; il avait posé le diagnostic d'état dépressif avec éthylisations secondaires et de difficultés financières liées au travail et à la famille, avec une prise en charge ambulatoire. Le médecin avait revu son patient en 2007 pour d'autres problèmes sans relation avec la situation de 2006. - Par certificat du 11 septembre 2010, le Dr [...] a attesté l'hospitalisation du recourant du 29 avril au 11 mai 2010, avec une incapacité de travail du 29 avril au 23 mai 2010. - Selon la Feuille des avis officiels du 11 décembre 2009, la faillite sommaire du recourant a été prononcée le 22 octobre 2009.</w:t>
      </w:r>
    </w:p>
    <w:p>
      <w:r>
        <w:rPr>
          <w:b/>
        </w:rPr>
        <w:t>E. 4</w:t>
      </w:r>
    </w:p>
    <w:p>
      <w:r>
        <w:t>La paternité du recourant sur l'enfant F.M.________ n'est plus contestée et ne fait aucun doute au regard du résultat de l'expertise fondée sur la comparaison des profils ADN des parents et de l'enfant (probabilité de paternité très largement supérieure à 99,999 %). Le recourant ne conteste pas le principe de la contribution d'entretien en faveur de sa fille, mais estime que son montant est trop élevé.</w:t>
      </w:r>
    </w:p>
    <w:p>
      <w:r>
        <w:rPr>
          <w:b/>
        </w:rPr>
        <w:t>E. 5</w:t>
      </w:r>
    </w:p>
    <w:p>
      <w:r>
        <w:t>a) Le recourant prétend d’abord qu’il n’y a pas à lui imputer un revenu hypothétique supérieur à celui qu’il réalise en qualité d’aide de cuisine.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5C.40/2003 précité c. 2.1.1). En l’espèce, si le recourant dispose d’une expérience de plusieurs années dans le domaine de la restauration, il ne peut se prévaloir d’aucune formation. On ne saurait déduire de ce qu’il est employé par des cousins et qu’il a cessé de solliciter l’aide sociale en septembre 2009 qu’il réalise un revenu supérieur à ce qui ressort du décompte de salaire établi par son employeur, contrairement à ce que laissent entendre les premiers juges (jgt, p. 41). Il incombait aux intimées de prouver l’existence d’un tel dépassement et elles n'ont rien démontré à cet égard. Au surplus, le recourant établit quant à lui par des pièces qu’il est sujet à des états dépressifs (pièces 2 et 4 produites avec le mémoire de recours), ce qui compromet ses chances de trouver un emploi mieux rémunéré que celui qu’il occupe actuellement. Les intimées soutiennent à tort qu’il serait interdit au recourant de se prévaloir de ces pièces dès lors que leur contenu lui était connu avant le jugement entrepris et qu’il aurait dû les apporter plus tôt à la procédure : comme les intimées l’indiquent elles-mêmes, en matière de contribution d'entretien pour les enfants mineurs, la Chambre des recours considère qu'elle n'est pas limitée par l'art. 452 al. 1 ter CPC, dès lors qu'il résulte de la maxime inquisitoriale des art. 145 al. 1 et 280 al. 2 CC l'obligation, découlant du droit fédéral, pour l'autorité cantonale de recours d'admettre les nova et, partant, de prendre en considération les nouveaux faits pertinents jusqu'à la décision au fond (TF 5P.319/2002 du 25 novembre 2002 c. 2.1; TF 5P.123/1995 du 23 juin 1995 c. 3a in SJ 1996, p. 118). Cette jurisprudence ne prévoit pas une exclusion des nova qui auraient pu faire l’objet d’une instruction en première instance. Cela étant, un revenu hypothétique n’avait pas à être pris en considération. b) Le recourant prétend ensuite que les premiers juges n’auraient pas dû faire abstraction de la déduction opérée sur son salaire, par 96 fr. chaque mois, au titre d’imposition à la source. Il invoque la jurisprudence selon laquelle le minimum vital élargi comprend la charge fiscale courante (ATF 128 III 257). Cependant, en cas d’insuffisance de moyens, on ne tient pas compte de la charge fiscale dans le minimum vital (ATF 128 III 257 c. 4a/bb; TF 5A_383/2007 in FamPra 2008 p. 397). En revanche, dès lors que cette charge s’est exercée en l’espèce sous la forme d’une déduction à la source, il y a lieu d’en tenir compte, puisqu’on doit se fonder sur le revenu net effectivement perçu (FamPra 2005, p. 928 ; Bastons Bulletti, L’entretien après divorce : méthodes de calcul, montant, durée et limites, in SJ 2007, p. 88). C’est dès lors à juste titre que les premiers juges n’ont pris en considération le salaire du recourant qu’après déduction d’un montant de 96 fr. au titre d’impôt à la source, se fondant sur un salaire net de 2'795 fr. par mois (3'300 - 409 - 96). On constate toutefois que, dès le mois de juillet 2009, le salaire du recourant n’a plus subi la déduction susmentionnée et que le montant versé au titre de salaire a été augmenté d’autant. Le revenu net réalisé par le recourant dès ce mois s’est dès lors élevé à 2'891 fr. (2'795 + 96), sans qu’il y ait lieu d’en déduire une charge fiscale. c) Le recourant soutient aussi que son salaire à prendre en considération doit être amputé d’un forfait de 198 fr. correspondant à des frais de repas déduits par son employeur. L’art. 13 de la Convention collective nationale de travail pour les hôtels, restaurants et cafés prévoit que la nourriture peut être déduite du salaire. Tel est le cas s’agissant du recourant, ce dont on déduit que la prise de repas sur le lieu de travail est prévue par le contrat de travail, la retenue de 198 fr. étant d’ailleurs mentionnée dans celui-ci (pièce 102). A tout le moins les intimées n’ont-elles pas établi qu’il serait loisible au recourant de quitter son lieu de travail au moment de ces repas, ce qui n’est du reste guère vraisemblable s’agissant d’un aide de cuisine. Les premiers juges n’avaient dès lors pas à déduire de ce que le recourant habite à peu de distance de son lieu de travail qu’il pouvait éviter la déduction des dits frais. Le salaire déterminant s’élève dès lors à 2'597 fr. (soit le revenu tel que retenu à la page 37 du jugement de 2'795 – 198) jusqu’en juin 2009, à savoir 2'813 fr. en tenant compte de la part au treizième salaire prévue dans le contrat (2'597 : 12) et 2'693 fr. (2'891 – 198) depuis que l'impôt à la source n'est plus déduit, à savoir 2’933 fr. en tenant compte de cette part (2'891 : 12). d) Le recourant prétend encore que le montant de 50 fr. qu’il paie chaque mois pour amortir une dette à l’égard de l’Etat de Vaud au titre de l’assistance judiciaire devrait être déduite de son salaire déterminant. En réalité, ce n’est que « sur le bénéficiaire devenu solvable » que l’Etat peut récupérer le montant de ses avances faites au titre de l’assistance judiciaire (art. 18 al. 1 LAJ; RSV 173.81), si bien que le montant précité ne doit pas être compris dans le minimum vital du recourant. e) Le recourant entend que soient intégrés dans son minimum vital des frais médicaux qui ne seraient pas couverts par son assurance maladie. Il n’établit cependant pas l’existence de tels frais. En particulier, rien n’indique que les factures qu’il a produites (pièce 3) correspondraient à des frais non couverts. f) La question se pose encore de savoir dans quelle mesure l'épouse du recourant ne pourrait pas être tenue de contribuer à l'entretien de la famille afin de permettre au recourant de consacrer une partie de ses revenus à son obligation d'entretien envers l'intimée (cf. ATF 127 III 68 c. 3, JT 2001 I 562; ATF 115 III 103 c. 3b). Il faut cependant y répondre par la négative, l'épouse du recourant étant mère de deux enfants en bas âge, si bien qu'on ne peut exiger d'elle qu'elle prenne une activité lucrative. g) Si le recourant conteste le montant des pensions mises à sa charge, il ne remet pas en cause le principe de celles-ci et est disposé à payer un montant de 50 fr. par mois, puis de 100 fr. dès que l'enfant aura six ans révolus, enfin de 150 fr. dès l'âge de douze ans révolus. Il n'y a pas lieu de se distancer d'une telle conclusion motif pris de ce que la maxime d'office est applicable, puisqu'elle est au premier chef destinée à protéger les intérêts de l'enfant. Certes, le minimum est intangible et l'égalité de traitement entre les enfants n'est pas un motif qui permet de porter atteinte au minimum vital (ATF 127 III 68 c. 2c). Le minimum vital est fixé à 3'197 fr., sans tenir compte des bases mensuelles pour enfants. Le recourant gagne 2'933 fr. par mois, hors allocations familiales. Ce montant permet de couvrir les montants que le recourant s'engage à payer à l'intimée, si bien qu'il convient de les allouer à celle-ci.</w:t>
      </w:r>
    </w:p>
    <w:p>
      <w:r>
        <w:rPr>
          <w:b/>
        </w:rPr>
        <w:t>E. 6</w:t>
      </w:r>
    </w:p>
    <w:p>
      <w:r>
        <w:t>L'action en indemnisation exercée par la mère non mariée doit être introduite dans le délai péremptoire d'une année prévu par l'art. 295 al. 1 CC (Meier / Stettler, Droit de la filiation, 4ème éd., 2009, n. 1122 p. 644; Perrin, Commentaire romand, n. 11 ad art. 295 CC), dont le respect doit être examiné d'office. Ce délai se calcule conformément à l'art. 132 CO applicable par le renvoi de l'art. 7 CC. Le jour de la naissance n'est pas compté (JT 2002 III 182). En l'espèce, l'enfant est né le 21 mai 2007 et l'action a été introduite par la mère le 21 juillet 2008, soit après l'expiration du délai pour agir. L'état de fait du jugement doit être rectifié sur ce point, étant précisé que seule l'action de l'enfant a été ouverte le 19 mai 2008. La mère ne peut ainsi pas faire valoir de prétentions sur la base de l'art. 295 al. 1 CC.</w:t>
      </w:r>
    </w:p>
    <w:p>
      <w:r>
        <w:rPr>
          <w:b/>
        </w:rPr>
        <w:t>E. 7</w:t>
      </w:r>
    </w:p>
    <w:p>
      <w:r>
        <w:t>En première instance, le recourant succombe sur la question de la paternité tandis qu’il obtient gain de cause sur les prétentions pécuniaires des intimées. Seuls des dépens réduits doivent dès lors être alloués aux intimées. Il faut toutefois tenir compte de ce que les frais de justice s’élevant pour chacune de celles-ci à 1'809 fr. 85 ont compris une demi part à des frais d’expertise ADN, par 599 fr. 85, montant qui doit certainement leur être alloué. Il convient dès lors de fixer en leur faveur des dépens réduits arrêtés pour F.M.________ à 2'601 fr. 85, soit 1'300 fr. à titre de participation aux honoraires de son curateur, 97 fr. pour les débours de celui-ci et 1'204 fr. 85 (1'809.85 – [599.85 : 2] + 599.85) en remboursement de ses frais de justice, et pour A.M.________ à 2'528 fr. 85, soit 1'259 fr. à titre de participation aux honoraires de son conseil, 65 fr. pour les débours de celui-ci et 1'204 fr. 85 (1'809.85 – [599.85 : 2] + 599.85) en remboursement de ses frais de justice.</w:t>
      </w:r>
    </w:p>
    <w:p>
      <w:r>
        <w:rPr>
          <w:b/>
        </w:rPr>
        <w:t>E. 8</w:t>
      </w:r>
    </w:p>
    <w:p>
      <w:r>
        <w:t>En définitive, le recours doit être admis et le dispositif du jugement réformé en ce sens que P.________ est astreint à contribuer à l'entretien de sa fille Nayana, née le 21 mai 2007, par le versement d'une pension mensuelle, payable d'avance le premier de chaque mois en mains de la mère, allocations familiales éventuelles en plus, de 50 fr. du 1er mai 2007 jusqu'à ce que l'enfant ait six ans révolus, de 100 fr. dès lors et jusqu'à l'âge de douze ans révolus, de 150 fr. dès lors et jusqu'à la majorité et, au-delà, jusqu'à l'achèvement de la formation professionnelle (ch. V), qu'ordre est donné à tout employeur de P.________, actuellement [...], ou à tout organisme lui servant des indemnités en lieu et place du salaire, de prélever chaque mois sur son salaire ou ses indemnités le montant de la pension due pour sa fille, allocations familiales éventuelles dues en plus, et de verser ces montants en mains de A.M.________ (ch. VII), que P.________ doit verser à F.M.________ la somme de 2'601 fr. 85 à titre de dépens (ch. IX), que P.________ doit verser à A.M.________ la somme de 2'528 fr. 85 à titre de dépens (ch. X), le chiffre VIII du dispositif étant supprimé. Le jugement est confirmé pour le surplus. Les frais de deuxième instance du recourant sont arrêtés à 300 fr. (art. 232 TFJC). En deuxième instance, le recourant obtient entièrement gain de cause et a droit à de plein dépens, arrêtés à 700 fr. pour chacune des intimées. Par ces motifs, la Chambre des recours du Tribunal cantonal, statuant à huis clos, prononce : I. Le recours est admis. II. Le jugement est réformé aux chiffres V, VII à X de son dispositif comme il suit : V.- astreint P.________ à contribuer à l'entretien de sa fille F.M.________, née le 21 mai 2007, par le versement d'une pension mensuelle, payable d'avance le premier de chaque mois en mains de A.M.________, allocations familiales éventuelles en plus, de 50 fr. (cinquante francs) du 1 er mai 2007 jusqu'à ce que l'enfant ait six ans révolus, de 100 fr. (cent francs) dès lors et jusqu'à l'âge de douze ans révolus, de 150 fr. (cent cinquante francs) dès lors et jusqu'à la majorité et, au-delà, jusqu'à l'achèvement de la formation professionnelle. VII.- ordonne à tout employeur de P.________, actuellement [...], ou à tout organisme lui servant des indemnités en lieu et place du salaire, de prélever chaque mois sur son salaire ou ses indemnités le montant de la pension due pour sa fille F.M.________, allocations familiales éventuelles dues en plus, et de verser ces montants en mains de A.M.________. VIII.- supprimé. IX.- dit que P.________ doit verser à F.M.________ la somme de 2'601 fr. 85 (deux mille six cent un francs et huitante-cinq centimes) à titre de dépens. X- dit que P.________ doit verser à A.M.________ la somme de 2'528 fr. 85 (deux mille cinq cent vingt-huit francs et huitante-cinq centimes) à titre de dépens. Le jugement est confirmé pour le surplus. III. Les frais de deuxième instance du recourant sont arrêtés à 300 fr. (trois cents francs). IV. Les intimées A.M.________ et F.M.________ doivent chacune verser au recourant P.________ la somme de 700 fr. (sept cents francs) à titre de dépens de deuxième instance. V. L'arrêt motivé est exécutoire. Le président :               Le greffier : Du 3 septembre 2010 Le dispositif de l'arrêt qui précède est communiqué par écrit aux intéressés. Le greffier : Du L'arrêt qui précède, dont la rédaction a été approuvée à huis clos, est notifié en expédition complète, par l'envoi de photocopies, à : ‑ Me Franck-Olivier Karlen (pour P.________), ‑ Me Eric Reynaud, curateur (pour F.M.________), - Me Yves Nicole (pour A.M.________).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