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596 vom 8. November 2010</w:t>
      </w:r>
    </w:p>
    <w:p>
      <w:r>
        <w:t>VD Tribunal cantonal, 2010-11-08, FR</w:t>
      </w:r>
    </w:p>
    <w:p>
      <w:r>
        <w:rPr>
          <w:b/>
        </w:rPr>
        <w:t xml:space="preserve">Quelle: </w:t>
      </w:r>
      <w:r>
        <w:t>https://mcp.opencaselaw.ch/entscheid/vd_findinfo_HC___2010___596</w:t>
      </w:r>
    </w:p>
    <w:p>
      <w:r>
        <w:t>FR: VD_FINDINFO HC / 2010 / 596 du 8 novembre 2010</w:t>
      </w:r>
    </w:p>
    <w:p>
      <w:r>
        <w:t>IT: VD_FINDINFO HC / 2010 / 596 del 8 novembre 2010</w:t>
      </w:r>
    </w:p>
    <w:p>
      <w:pPr>
        <w:pStyle w:val="Heading2"/>
      </w:pPr>
      <w:r>
        <w:t>Regeste</w:t>
      </w:r>
    </w:p>
    <w:p>
      <w:r>
        <w:t>RÉSILIATION, EXPULSION DE LOCATAIRE, INTERDICTION DE L'ARBITRAIRE | 273 CO, 274g CO, 457 CPC, 23 LPEBL, 24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 2 LPEBL,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in Ducret et alii, Procédures spéciales vaudoises, n.</w:t>
      </w:r>
    </w:p>
    <w:p>
      <w:r>
        <w:rPr>
          <w:b/>
        </w:rPr>
        <w:t>E. 4</w:t>
      </w:r>
    </w:p>
    <w:p>
      <w:r>
        <w:t>ad art. 23 LPEBL, p. 212). En l'espèce, le recourant n’a pas contesté le congé devant la commission de conciliation. La Chambre des recours dispose donc d’un pouvoir d’examen en droit limité à l’arbitraire (Guignard, op. cit., n. 3 ad art. 23 LPEBL, p. 210; Poudret/Haldy/Tappy, Procédure civile vaudoise, 3 ème éd., 2002, n. 4 i.f. et 5 ad art. 356 CPC, pp. 537-538 et les réf. citées).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 c) Le recours, interjeté en temps utile, par une partie qui y a intérêt, comporte une conclusion implicite en réforme. Contrairement à ce que prescrit l’art. 24 LPEBL, l’acte de recours n’est pas motivé. Toutefois, on comprend, de l’annexe qui y est jointe (lettre du 3 septembre 2010 à la gérance Bernard Nicod SA), que le recourant conteste son expulsion, estimant être à jour avec les loyers arriérés depuis le 30 juillet 2010. Le recours est ainsi formellement recevable 2.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Comme l’admet le recourant lui-même dans la lettre à la gérance Bernard Nicod SA précitée, il est « à jour » depuis le 30 juillet 2010. Or, la lettre de mise en demeure de la bailleresse du 1 er avril 2010 lui fixait un délai de 30 jours, conformément à l’art. 257d al. 1 CO, pour s’acquitter des loyers arriérés, par 3'400 francs, ainsi qu’un « supplément de chauffage ouvert », par 228 fr. 30, auxquels s’ajoutaient des "intérêts de retard et une participation aux frais d’intervention", par 399 fr. 10. Il n'est pas établi que l'arriéré ait été payé dans le délai comminatoire. A cet égard, on doit vérifier si le contenu de cet avis comminatoire est conforme aux réquisits de la jurisprudence, dans la mesure où celui-ci comporte, outre les arriérés de loyer, d’autres postes, tels que supplément de chauffage ouvert, intérêts moratoires et dommages-intérêts. En effet, le bailleur n’est habilité à résilier le contrat que pour des arriérés de loyer, les intérêts qui leur sont liés et les frais accessoires échus (cf. Lachat, Le bail à loyer, 2008, ch. 2.1.3, p. 664). Or, le supplément de chauffage réclamé n’est pas documenté et le poste « intérêts de retard et participation aux frais d’intervention » ne permet pas de distinguer le montant afférent à chacune de ces prétentions. Il s’ensuit que le montant réclamé est supérieur de près de 15% aux loyers arriérés. Dans un arrêt du 18 janvier 2006 n° 89, au c. 3, la Chambre des recours a jugé inefficace le congé qui reposait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Dans un arrêt ultérieur du 23 février 2006 n° 131, la Chambre des recours a retenu qu'une différence de 11,5% entre le montant réclamé dans la sommation et celui effectivement dû n'entraînait pas l'inefficacité du congé. Dans un autre arrêt du 7 février 2008 n° 59, elle a estimé qu'il n'était pas arbitraire de considérer qu'une sommation portant sur un montant dépassant de 50% le loyer effectivement dû n'entraînait pas l'inefficacité du congé. Enfin, dans un arrêt récent du 3 septembre 2010 n° 457/I, elle a jugé qu’une interprétation restrictive de la solution adoptée dans l'arrêt du 18 janvier 2006 s’imposait et qu’il y avait lieu dans ce contexte de confirmer l'arrêt du 7 février 2008 qui considère qu'une sommation réclamant au locataire un montant de 50% supérieur à celui qui est effectivement dû ne rend pas le congé inefficace mais constitue un comportement pouvant rendre ledit congé abusif au sens des art. 271 ss CO, ce qui oblige le locataire à le contester dans le délai de l'art. 273 al. 1 CO sous peine de forclusion. En l'espèce, à supposer que l’on considère le montant total réclamé par la bailleresse dans son avis comminatoire comme disproportionné, le recourant n'a pas contesté le congé litigieux auprès de la commission de conciliation dans le délai de l'art. 273 al. 1 CO. Il ne se prévaut pas non plus d’une irrégularité à ce sujet dans le présent recours. Le montant réclamé n’ayant pas été acquitté en totalité dans le délai fixé, force est de constater que la résiliation du bail ne souffre d’aucune irrégularité. C’est dès lors sans arbitraire que le premier juge a ordonné l’expulsion du recourant et sa décision doit être confirmée. 3. En conclusion, le recours doit être rejeté et l'ordonnance confirmée. Les frais de deuxième instance du recourant sont arrêtés à 300 francs. Par ces motifs, la Chambre des recours du Tribunal cantonal, statuant à huis clos, prononce : I. Le recours est rejeté. II. L'ordonnance est confirmée. III. Les frais de deuxième instance du recourant G.________ sont arrêtés à 300 fr. (trois cents francs). IV. L'arrêt motivé est exécutoire. Le président :               La greffière : Du</w:t>
      </w:r>
    </w:p>
    <w:p>
      <w:r>
        <w:rPr>
          <w:b/>
        </w:rPr>
        <w:t>E. 8</w:t>
      </w:r>
    </w:p>
    <w:p>
      <w:r>
        <w:t>novembre 2010 Le dispositif de l'arrêt qui précède est communiqué par écrit aux intéressés. La greffière : Du L'arrêt qui précède, dont la rédaction a été approuvée à huis clos, est notifié à : ‑ M. G.________, ‑ M. Daniel Schwab (pour V.________). La Chambre des recours considère que la valeur litigieuse est de 3'628 francs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