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591 vom 3. September 2010</w:t>
      </w:r>
    </w:p>
    <w:p>
      <w:r>
        <w:t>VD Tribunal cantonal, 2010-09-03, FR</w:t>
      </w:r>
    </w:p>
    <w:p>
      <w:r>
        <w:rPr>
          <w:b/>
        </w:rPr>
        <w:t xml:space="preserve">Quelle: </w:t>
      </w:r>
      <w:r>
        <w:t>https://mcp.opencaselaw.ch/entscheid/vd_findinfo_HC___2010___591</w:t>
      </w:r>
    </w:p>
    <w:p>
      <w:r>
        <w:t>FR: VD_FINDINFO HC / 2010 / 591 du 3 septembre 2010</w:t>
      </w:r>
    </w:p>
    <w:p>
      <w:r>
        <w:t>IT: VD_FINDINFO HC / 2010 / 591 del 3 settembre 2010</w:t>
      </w:r>
    </w:p>
    <w:p>
      <w:pPr>
        <w:pStyle w:val="Heading2"/>
      </w:pPr>
      <w:r>
        <w:t>Regeste</w:t>
      </w:r>
    </w:p>
    <w:p>
      <w:r>
        <w:t>JUGEMENT PAR DÉFAUT | 457 CPC</w:t>
      </w:r>
    </w:p>
    <w:p>
      <w:pPr>
        <w:pStyle w:val="Heading2"/>
      </w:pPr>
      <w:r>
        <w:t>Erwägungen</w:t>
      </w:r>
    </w:p>
    <w:p>
      <w:r>
        <w:rPr>
          <w:b/>
        </w:rPr>
        <w:t>E. 1</w:t>
      </w:r>
    </w:p>
    <w:p>
      <w:r>
        <w:t>Le recours en nullité (art. 444 et 447 CPC) et le recours en réforme (art. 451 ch. 4 CPC) sont ouverts contre un jugement principal rendu par défaut par un juge de paix (Poudret/Haldy/Tappy, Procédure civile vaudoise, 3ème éd., 2002, n. 4 ad art. 334 CPC, p. 507) dans la procédure ordinaire prévue aux art. 320 ss CPC, applicable à une cause patrimoniale dont la valeur litigieuse est inférieure à 8'000 fr. et supérieure à 1'000 fr. (art. 113 al. 1bis et 2 LOJV [loi d'organisation judiciaire; RSV 173.01]). Interjeté en temps utile par une partie qui y a intérêt, le recours est recevable en la forme.</w:t>
      </w:r>
    </w:p>
    <w:p>
      <w:r>
        <w:rPr>
          <w:b/>
        </w:rPr>
        <w:t>E. 2</w:t>
      </w:r>
    </w:p>
    <w:p>
      <w:r>
        <w:t>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Le recourant fait valoir qu'il aurait été empêché de participer à l'audience de jugement "n'ayant pas l'argent". On comprend qu'il n'a pas été en mesure d'avancer les frais de justice. Or, la partie qui ne fait pas l'avance dans le délai fixé est déchue du droit de requérir l'opération et peut être considérée comme défaillante (art. 90 al. 3 CPC et 13 al. 1 TFJC [tarif des frais judiciaires en matière civile; RSV 270.11.5]). Par ailleurs, la demande de relief contre un jugement rendu par défaut n'est recevable que si le requérant a déposé au greffe la somme fixée par le juge pour assurer le paiement des dépens frustraires (art. 309 al. 3 CPC). Comme le constate le jugement attaqué, le recourant n'a pas non plus avancé le montant des frais frustraires fixés par le premier juge, si bien qu'il était déchu du droit au relief. Le recourant fait encore valoir qu'il n'a aucun souvenir d'un prêt consenti par l'intimé, niant implicitement l'existence d'un tel contrat. Celle-ci est cependant établie par la fiction prévue à l'art. 306 al. 2 CPC en cas de défaut, selon lequel les faits allégués par la partie présente sont réputés vrais dans la mesure où le contraire ne résulte pas du dossier. Ce moyen doit donc être également rejeté.</w:t>
      </w:r>
    </w:p>
    <w:p>
      <w:r>
        <w:rPr>
          <w:b/>
        </w:rPr>
        <w:t>E. 3</w:t>
      </w:r>
    </w:p>
    <w:p>
      <w:r>
        <w:t>septembre 2010 Le dispositif de l'arrêt qui précède est communiqué par écrit aux intéressés. Le greffier : Du L'arrêt qui précède, dont la rédaction a été approuvée à huis clos, est notifié en expédition complète, par l'envoi de photocopies, à : ‑ M. O.________, ‑ M. Christophe Savoy, aab (pour B.________). La Chambre des recours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