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586 vom 9. August 2010</w:t>
      </w:r>
    </w:p>
    <w:p>
      <w:r>
        <w:t>VD Tribunal cantonal, 2010-08-09, FR</w:t>
      </w:r>
    </w:p>
    <w:p>
      <w:r>
        <w:rPr>
          <w:b/>
        </w:rPr>
        <w:t xml:space="preserve">Quelle: </w:t>
      </w:r>
      <w:r>
        <w:t>https://mcp.opencaselaw.ch/entscheid/vd_findinfo_HC___2010___586</w:t>
      </w:r>
    </w:p>
    <w:p>
      <w:r>
        <w:t>FR: VD_FINDINFO HC / 2010 / 586 du 9 août 2010</w:t>
      </w:r>
    </w:p>
    <w:p>
      <w:r>
        <w:t>IT: VD_FINDINFO HC / 2010 / 586 del 9 agosto 2010</w:t>
      </w:r>
    </w:p>
    <w:p>
      <w:pPr>
        <w:pStyle w:val="Heading2"/>
      </w:pPr>
      <w:r>
        <w:t>Regeste</w:t>
      </w:r>
    </w:p>
    <w:p>
      <w:r>
        <w:t>FIXATION DE LA PEINE, ÉGALITÉ DE TRAITEMENT, COMMERCE DE STUPÉFIANTS |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W.________ invoque une violation de l'art. 47 CP (Code pénal suisse du 21 décembre 1937, RS 311.0). Il ne demande pas à pouvoir bénéficier du sursis, lequel ne saurait de toute manière être octroyé au regard des conditions posées à l'art. 42 al. 2 CP (cf. aussi jugt, c. 4, p. 10), et admet le principe de la peine d'ensemble comprenant la durée du solde de la peine encore à exécuter ensuite de la révocation de la libération conditionnelle, dont il ne conteste pas non plus le principe (recours, p. 2 in fine ). Le prénommé soutient uniquement que la peine privative de liberté de trente-quatre mois qui lui a été infligée "pour les faits nouveaux" est arbitrairement sévère. b) L'infraction réprimée par l'art. 19 ch. 2 LStup est passible d'une peine privative de liberté d'un an au moins, susceptible d'être cumulée avec une peine pécuniaire (art. 19 ch. 1 al. 9 LStup); la durée de la peine privative de liberté est de vingt ans au maximum (art. 40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(Bovay/Dupuis/Monnier/Moreillon/Piguet, Procédure pénale vaudoise, Code annoté, 3 e éd., Bâle 2008,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 cit.;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ATF 121 IV 202, précité, c. 2d/aa; ATF 118 IV 342, c. 2d). d) aa) Le recourant fait valoir que la quotité de la peine nouvelle de trente-quatre mois, qui vient s'ajouter à la durée concernée par la révocation de la libération conditionnelle, est arbitrairement sévère, dès lors que "les infractions retenues à sa charge (…) portent sur des quantités de stupéfiants très inférieures aux ventes pour lesquelles il avait été condamné précédemment à une peine de quatre ans de privation de liberté" (recours, p. 3, ch. 2). Il se plaint de ce que le tribunal a retenu que "le trafic n'aurait pas été de moindre intensité par rapport au premier jugement" et affirme que les premiers juges lui auraient fait "un procès d'intention (…) qui n'est pas compatible avec la présomption d'innocence" (recours, p. 4, ch. 4 et 5). On ne saurait suivre ce raisonnement. La précision du tribunal selon laquelle "on ne peut pas affirmer que le trafic a été de moindre intensité" doit en effet être replacée dans son contexte : il ressort du considérant 4 de la page 9 du jugement attaqué que cette phrase a été formulée pour répondre à l'argument de la défense selon lequel le "trafic (de W.________, ndlr) a été moins important cette fois que dans le cadre de sa précédente condamnation". En constatant que les quantités de cocaïne vendues, soit 230 grammes en six mois, étaient, proportionnellement au temps, à peu près aussi importantes que les 762 grammes écoulés en dix-huit mois dans le cadre de la précédente affaire (pièce 34, p. 20), le tribunal n'a pas fait "un procès d'intention", pour reprendre l'expression utilisée par l'accusé, et n'a pas violé la présomption d'innocence, contrairement à ce que prétend ce dernier. Les premiers juges ont simplement mesuré l'intensité du comportement délictueux du recourant, ce qui, au vu de la jurisprudence précitée, n'est pas critiquable, l'intéressé ne contestant d'ailleurs ni l'ampleur du trafic, ni son rôle au sein de l'organisation. Contrairement à ce que W.________ soutient, le tribunal n'a pas fixé la peine sur la base de ce seul élément, mais il a bel et bien pris en considération "l'importance de la faute et la gravité effective des faits" (recours, p. 4, ch. 4 in fine ). bb) Ainsi, le tribunal a estimé que W.________ avait vendu à plusieurs toxicomanes, en six mois seulement, au minimum 230,8 grammes de cocaïne, correspondant à 100,39 grammes de cocaïne pure. Sur ce point, le prénommé se trompe lorsqu'il affirme qu'"une partie [de ces 230,8 grammes] a été retrouvée [à son] domicile, et non vendue" (recours, p. 5, ch. 6), étant donné que selon l'état de fait du jugement attaqué, qui lie la cour de céans, les 58 grammes de cocaïne qui étaient en possession du recourant au moment de son arrestation, "dont une partie était cachée au domicile de son amie", et qui étaient entreposés et donc également destinés au trafic, s'ajoutent en réalité aux 230,8 grammes précités (jugt, pp. 8 ss). Certes, le fait que le tribunal ait souligné que "la clientèle de l'accusé était bien plus vaste" que celle qu'il avait admise, que "les quantités retenues [étaient] bien un strict minimum" et que "rien ne permet de penser qu'il aurait spontanément mis fin à son activité délictueuse" (jugt, pp. 9 in initio et 10 in initio ) pourraient laisser entendre que le tribunal a imaginé un trafic plus étendu que celui qui a été retenu et qu'il a donc procédé à un "procès d'intention"; toutefois, ces remarques n'ont pas d'incidence, dans la mesure où les premiers juges n'ont finalement admis que la quantité de drogue que l'intéressé avait effectivement mise sur le marché et celle qu'il possédait chez lui. On ne peut donc conclure que le tribunal se soit livré à "une sorte de spéculation sur l'intensité du trafic du recourant" (recours, p. 4, ch. 5). Sur ce point, on rappellera que si la quantité de drogue pure, objet du trafic, constitue un élément qu'il convient de prendre en compte, il ne revêt toutefois pas une importance prépondérante pour apprécier la gravité de la faute. La culpabilité dépend également du rôle joué par l'auteur dans la distribution de la drogue, des méthodes qu'il a utilisées et de l'ampleur des gains envisagés. Le tribunal a en l'occurrence examiné d'autres aspects pertinents. Premièrement, les très nombreux contacts téléphoniques que W.________ a eus, en l'espace de six mois seulement, avec ses différents acquéreurs (jugt, p. 6) attestent que le prénommé jouissait d'une marge de manœuvre et de responsabilités qui excédaient celles d'un transporteur ou d'un simple dealer. La nature de sa participation et sa position au sein du trafic permettent indéniablement de qualifier son rôle d'important. Deuxièmement, comme l'ont relevé à juste titre les premiers juges, seule l'arrestation de l'accusé a permis d'interrompre son trafic de drogue. Troisièmement, s'agissant des mobiles, le tribunal a relevé que le recourant n'avait pas agi pour financer sa propre consommation, mais avait participé au trafic en question uniquement "pour économiser" et "gagner un maximum d'argent" (jugt, pp. 9 s). A cet égard, on remarquera que l'intéressé a pu engranger des dizaines de milliers de francs en quelques mois seulement (jugt, pp. 8 et 10), argent destiné à lui permettre, selon ses dires, soit "de [s]'installer avec [...], soit [de] rentrer au pays et ouvrir un commerce alimentaire" (jugt, p. 9). Quatrièmement, W.________ n'a cessé de minimiser ses agissements, allant jusqu'à affirmer qu'il était "bloqué en Suisse" et que "c'est en quelque sorte contraint et forcé (…) qu'il aurait repris malgré lui son trafic" (jugt, p. 9 in fine ). Le tribunal a ajouté qu'il n'était "absolument pas convaincu que les regrets et prise de conscience exprimés face au Juge d'application des peines en 2008 aient été authentiques", pas plus qu'il n'avait de raisons de croire à "la sincérité des excuses" formulée à l'audience. Le tribunal a donc déterminé la gravité de la faute de W.________ sur la base de critères pertinents. Il a procédé à une analyse circonstanciée en exposant, en pages 9 et 10 du jugement attaqué, les éléments sur lesquels il s'est fondé pour apprécier la culpabilité du prénommé. cc) Les premiers juges ont examiné, à charge et à décharge, les éléments relatifs aux antécédents et à la situation personnelle du recourant (jugt, ibidem ). D'une part, ils ont souligné que celui-ci répondait de la circonstance aggravante d'un concours d'infractions. Ils ont également indiqué que l'accusé n'avait pas hésité à revenir dans la région lausannoise dans le but de se livrer au trafic illicite de stupéfiants. A cet égard, l'intéressé a persisté à vivre illégalement en Suisse malgré le rejet de sa demande d'asile et nonobstant le fait qu'il avait déjà été condamné par le passé pour infraction à la LSEE (Loi fédérale sur le séjour et l'établissement des étrangers du 26 mars 1931, abrogée et remplacée par la LEtr). A cela s'ajoute que, s'agissant de l'infraction grave à la Stup, W.________ a récidivé seulement cinq mois après une longue période de détention, pendant le délai d'épreuve assortissant sa libération conditionnelle. Sous l'angle de la gravité de la faute, il y a lieu de constater que la motivation de l'auteur quant aux faits retenus à la base de ses agissements ne puisait pas sa source dans la nécessité d'affronter les difficultés matérielles de l'existence, mais bien dans l'appât du gain. D'autre part, le tribunal a retenu en faveur de W.________ sa "bonne collaboration" durant l'enquête. Cette attitude ne témoigne toutefois que d'une prise de conscience relative, dans la mesure où, comme on l'a vu ci-dessus, le prénommé a persisté "à minimiser l'ampleur de son commerce"; elle ne saurait donc exercer qu'une influence minime sur l'évaluation de sa culpabilité. dd) Les premiers juges ont conclu leur argumentation concernant la mesure de la peine en prenant en considération l'effet de cette dernière sur l'avenir de l'accusé. Ils ont rappelé dans leurs constatations que ni les projets de mariage du recourant, ni sa récente paternité, ne pesaient d'un poids déterminant dans la fixation de la peine. ee) Le tribunal a ainsi procédé à une pesée entre les différents critères de l'art. 47 CP. Compte tenu de la quantité de drogue en jeu et donc du risque auquel W.________ exposait la société, du rôle qu'il occupait dans l'organisation et de son mobile, l'appréciation des juges échappe à la critique. La cour de céans ne peut donc pas constater que la sanction retenue dans le jugement est arbitrairement sévère. Le tribunal est resté à l'intérieur des limites de son large pouvoir d'appréciation. Mal fondé, le moyen ne peut dès lors qu'être rejeté. e) aa) Le prénommé affirme que la quotité de la peine est arbitrairement sévère en comparaison de cas similaires. Il établit un parallèle entre la quantité de drogue retenue dans certaines affaires et la sanction infligée. bb)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cc) En l’espèce, W.________ se limite, de manière générale, à procéder, sur plus de deux pages, à une comparaison avec les peines prononcées dans d'autres affaires (recours, pp. 4 ss ). Or, le prénommé ne saurait rien tirer d’une telle confrontation. En effet, pour les raisons évoquées, de telles comparaisons n’aboutissent en général pas à une modification de la sanction, ce que le recourant admet d’ailleurs lui-même (recours, p. 7 in initio ). Il n'est donc pas possible de conclure, comme le fait l’intéressé, à une inégalité de traitement sur la seule base des peines arrêtées dans d’autres cas prétendument semblables. Par conséquent, le moyen est mal fondé et doit être rejeté.</w:t>
      </w:r>
    </w:p>
    <w:p>
      <w:r>
        <w:rPr>
          <w:b/>
        </w:rPr>
        <w:t>E. 3</w:t>
      </w:r>
    </w:p>
    <w:p>
      <w:r>
        <w:t>En définitive, le recours de W.________ doit être rejeté et le jugement confirmé, en application de l'art. 431 al. 2 CPP. Vu l'issue du recours, les frais de deuxième instance, y compris l'indemnité allouée à son défenseur d'office par 581 fr. 05 TVA comprise,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