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569 vom 24. August 2010</w:t>
      </w:r>
    </w:p>
    <w:p>
      <w:r>
        <w:t>VD Tribunal cantonal, 2010-08-24, FR</w:t>
      </w:r>
    </w:p>
    <w:p>
      <w:r>
        <w:rPr>
          <w:b/>
        </w:rPr>
        <w:t xml:space="preserve">Quelle: </w:t>
      </w:r>
      <w:r>
        <w:t>https://mcp.opencaselaw.ch/entscheid/vd_findinfo_HC___2010___569</w:t>
      </w:r>
    </w:p>
    <w:p>
      <w:r>
        <w:t>FR: VD_FINDINFO HC / 2010 / 569 du 24 août 2010</w:t>
      </w:r>
    </w:p>
    <w:p>
      <w:r>
        <w:t>IT: VD_FINDINFO HC / 2010 / 569 del 24 agosto 2010</w:t>
      </w:r>
    </w:p>
    <w:p>
      <w:pPr>
        <w:pStyle w:val="Heading2"/>
      </w:pPr>
      <w:r>
        <w:t>Regeste</w:t>
      </w:r>
    </w:p>
    <w:p>
      <w:r>
        <w:t>PRÉSOMPTION D'INNOCENCE, FIXATION DE LA PEINE | 47 CP, 411 let. i CPP, 415 CPP</w:t>
      </w:r>
    </w:p>
    <w:p>
      <w:pPr>
        <w:pStyle w:val="Heading2"/>
      </w:pPr>
      <w:r>
        <w:t>Erwägungen</w:t>
      </w:r>
    </w:p>
    <w:p>
      <w:r>
        <w:rPr>
          <w:b/>
        </w:rPr>
        <w:t>E. 1</w:t>
      </w:r>
    </w:p>
    <w:p>
      <w:r>
        <w:t>L'autorité de recours doit déterminer la nature du recours d'après la question soulevée et d'après les moyens invoqués, et non d'après les termes inadéquats que le recourant a pu utiliser dans son acte de recours (Bovay/Dupuis/ Monnier/Moreillon/Piguet, Procédure pénale vaudoise, Code annoté, 3e éd., Lausanne 2008, n. 2 ad art. 301 CPP). Au vu des moyens invoqués, le recours est principalement en réforme, subsidiairement en nullité.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w:t>
      </w:r>
    </w:p>
    <w:p>
      <w:r>
        <w:rPr>
          <w:b/>
        </w:rPr>
        <w:t>E. 2</w:t>
      </w:r>
    </w:p>
    <w:p>
      <w:r>
        <w:t>Sous l'angle de la nullité, il ressort des moyens articulés que le recourant se réclame de la présomption d'innocence, qu'il fait grief aux premiers juges d'avoir violée en ajoutant foi aux dépositions de [...]. a) En procédure vaudoise, la violation du principe in dubio pro reo , relève de l'art. 411 let. i CPP lorsque sa violation est examinée sous l’angle de l’appréciation des preuves. La cour de céans examine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même apparue plus justifiée (cf. not. ATF 132 III 209, c. 2.1; ATF 129 I 49, c. 4; ATF 128 II 259, c. 5; ATF 101 Ia 298; TF, I., 13 octobre 1994, ad CCASS, 30 mai 1994). b) En l'espèce, le tribunal correctionnel a d'abord considéré que les espèces remises à [...] par le recourant ne pouvaient avoir d'autre origine que le trafic de cocaïne auquel on savait que ce dernier se livrait depuis 2005 à l'exclusion de toute autre activité susceptible de lui procurer des revenus. La cour a ensuite retenu qu'il était établi que l'accusé avait cherché à exporter le produit de son commerce illicite à d'autres reprises et par d'autres intermédiaires; deux des personnes contactées par lui à cet effet ont fait des dépositions précises et concordantes à cet égard. A ceci s'ajoute que des traces des versements du recourant ont été retrouvées dans la comptabilité de [...], dont il est au surplus établi qu'il effectuait des besognes similaires de "banquier" pour différents trafiquants. Enfin, l'accusé avait tenté de faire acheminer un téléphone portable en Afrique par l'entremise du même individu. Dans cette mesure, et en présence d'un tel faisceau d'éléments convergents, c'est sans arbitraire aucun que les premiers juges ont ajouté foi aux dépositions de l'intermédiaire en question, qui accablaient le recourant. Plus encore, il apparaît que le recourant se limite à opposer sa propre version des faits à celle des premiers juges. Dans cette mesure, son argumentation est purement appellatoire, partant sans pertinence. Ainsi, même supposé recevable, le moyen déduit de la présomption d'innocence doit être rejeté.</w:t>
      </w:r>
    </w:p>
    <w:p>
      <w:r>
        <w:rPr>
          <w:b/>
        </w:rPr>
        <w:t>E. 3</w:t>
      </w:r>
    </w:p>
    <w:p>
      <w:r>
        <w:t>Les moyens implicites de réforme tendent à une réduction de la quotité de la peine privative de liberté globale, le recourant étant libéré du chef d'accusation relatif à la vente de 43 g de cocaïne pure, déjà contesté sous l'angle de la nullité et dont on a vu qu'elle avait été établie à partir des sommes remises à [...] comme décrit ci-dessus. Ce faisant, le recourant se prévaut implicitement de l'art. 444 al. 1 respectivement 3 CPP (cf. Bersier, Le recours à la Cour de cassation pénale du Tribunal cantonal en procédure vaudoise, in JT 1996 III 66, spéc. 88-89, ch. 35). Il découle du rejet du recours en nullité que c'est à juste titre que les premiers juges ont retenu une quantité de cocaïne (pure) de 43 g en sus des 53,56 g de cette même drogue résultant des dépositions des différents toxicomanes qu'approvisionnait le recourant. La quantité globale de cocaïne écoulée de la fin du mois de mars à la fin du mois de juin 2007, d'une part, et du 11 juillet 2007 à l'arrestation de l'intéressé, d'autre part, est donc de 96,56 g. Le cumul des quantités se justifie précisément du fait qu'il s'agit d'infractions continues perpétrées durant deux périodes entièrement distinctes. Les autres faits déterminants, incontestés, sont également établis. Il peut donc être statué en l'état sous l'angle de la réforme. Le recourant conteste implicitement la quotité de la peine privative de liberté. 4.a) Selon l'art. 47 al. 1 CP, le juge fixe la peine d'après la culpabilité de l'auteur. Il prend en considération les antécédents et la situation personnelle de ce dernier ainsi que l'effet de la peine sur son avenir. D'après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ATF 121 IV 202,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S'agissant en particulier du trafic de cocaïne, il y a cas grave au sens de l'art. 19 ch. 2 let. a LStup à partir de 18 grammes de drogue pure (ATF 109 IV 143, JT 1984 IV 84, dont les principes n'ont pas été affectés par le changement de jurisprudence consacré par l'ATF 117 IV 314).</w:t>
      </w:r>
    </w:p>
    <w:p>
      <w:r>
        <w:rPr>
          <w:b/>
        </w:rPr>
        <w:t>E. 5</w:t>
      </w:r>
    </w:p>
    <w:p>
      <w:r>
        <w:t>En l’espèce, les premiers juges ont considéré que la culpabilité du recourant était lourde. Ils ont retenu, à charge, l'importance du trafic et les antécédents de l'intéressé, ainsi que son dessein d'enrichissement tendant à la constitution d'un pécule pour l'avenir par le produit du trafic, le fait que l'intéressé disposait des moyens d'assumer ses frais de voyage de retour, le concours d'infractions et son déni, lequel a été à l'origine d'un refus de collaborer à l'enquête. Aucun élément n'a été retenu à décharge. Ce faisant, le tribunal n’a pas tenu compte d’éléments étrangers à l’art. 47 CP, précisé par la jurisprudence spécifique aux infractions à la LStup (ATF 122 IV 299, JT 1998 IV 38 et les arrêts cités). Ceux pris en compte sont complets et pertinents. La quantité de drogue écoulée excède largement la limite du cas grave et le recourant est en état de récidive spéciale. Au surplus, aucun élément déterminant au regard de l'art. 47 CP n'a été omis, respectivement ne s'est vu conférer une portée excessive ou insuffisante. La peine privative de liberté prononcée se situe dans le cadre légal. Elle n'apparaît nullement arbitrairement sévère, notamment au regard de l'ampleur et du caractère récurrent du trafic. Il s'ensuit que le recours en réforme doit, à l'instar du recours en nullité, être rejeté dans la mesure où il est recevable.</w:t>
      </w:r>
    </w:p>
    <w:p>
      <w:r>
        <w:rPr>
          <w:b/>
        </w:rPr>
        <w:t>E. 6</w:t>
      </w:r>
    </w:p>
    <w:p>
      <w:r>
        <w:t>En conclusion, le recours doit être rejeté en application de l'art. 431 al. 2 CPP et le jugement confirmé. Vu l'issue du recours, les frais de deuxième instance, y compris l'indemnité allouée à son défenseur d'office, par 330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