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553 vom 13. August 2010</w:t>
      </w:r>
    </w:p>
    <w:p>
      <w:r>
        <w:t>VD Tribunal cantonal, 2010-08-13, FR</w:t>
      </w:r>
    </w:p>
    <w:p>
      <w:r>
        <w:rPr>
          <w:b/>
        </w:rPr>
        <w:t xml:space="preserve">Quelle: </w:t>
      </w:r>
      <w:r>
        <w:t>https://mcp.opencaselaw.ch/entscheid/vd_findinfo_HC___2010___553</w:t>
      </w:r>
    </w:p>
    <w:p>
      <w:r>
        <w:t>FR: VD_FINDINFO HC / 2010 / 553 du 13 août 2010</w:t>
      </w:r>
    </w:p>
    <w:p>
      <w:r>
        <w:t>IT: VD_FINDINFO HC / 2010 / 553 del 13 agosto 2010</w:t>
      </w:r>
    </w:p>
    <w:p>
      <w:pPr>
        <w:pStyle w:val="Heading2"/>
      </w:pPr>
      <w:r>
        <w:t>Regeste</w:t>
      </w:r>
    </w:p>
    <w:p>
      <w:r>
        <w:t>SURSIS PARTIEL À L'EXÉCUTION DE LA PEINE, SURSIS À L'EXÉCUTION DE LA PEINE, ENLÈVEMENT{INFRACTION}, APPRÉCIATION DES PREUVES | 183 CP, 42 CP, 43 CP, 411 let. h CPP, 411 let. i CPP, 415 CPP</w:t>
      </w:r>
    </w:p>
    <w:p>
      <w:pPr>
        <w:pStyle w:val="Heading2"/>
      </w:pPr>
      <w:r>
        <w:t>Erwägungen</w:t>
      </w:r>
    </w:p>
    <w:p>
      <w:r>
        <w:rPr>
          <w:b/>
        </w:rPr>
        <w:t>E. 1</w:t>
      </w:r>
    </w:p>
    <w:p>
      <w:r>
        <w:t>Invoquant le moyen de nullité de l'art. 411 let. i CPP, le recourant reproche aux premiers juges d'avoir versé dans l'arbitraire en retenant à son encontre des faits non établis, à savoir ceux mentionnés sous chiffres 5 à 8 du jugement querellé. Il soutient qu'il existe des doutes sérieux sur la crédibilité de la plaignante. Or, selon lui, la conviction de l'autorité intimée reposerait exclusivement sur les déclarations de cette dernière qui ne seraient corroborées par aucun indice objectif.</w:t>
      </w:r>
    </w:p>
    <w:p>
      <w:r>
        <w:rPr>
          <w:b/>
        </w:rPr>
        <w:t>E. 1.1</w:t>
      </w:r>
    </w:p>
    <w:p>
      <w:r>
        <w:t>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A., 19 septembre 2000, n° 504; CCASS,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1.2</w:t>
      </w:r>
    </w:p>
    <w:p>
      <w:r>
        <w:t>La cour de céans relève que les critiques de U.________ se réduisent à opposer son appréciation des preuves à celle des premiers juges et à affirmer que le jugement est empreint d'arbitraire, ce dont il ne fournit aucune démonstration. Elles ne vont pas au-delà d'une rediscussion appellatoire des éléments retenus, manifestement insuffisante à faire admettre qu'il était absolument inadmissible, et non seulement discutable ou critiquable, de ne pas retenir sa version des faits pour préférer celle de sa compagne. Contrairement à ce que soutient le recourant, les premiers juges n'ont en aucune manière omis de mentionner les revirements de I.________ s'agissant du cas 3 (jgt., pp. 8-10). Ayant pris en compte cet élément, le tribunal a ensuite expliqué de manière convaincante les raisons pour lesquelles il retenait les déclarations de la plaignante. En particulier, il a relaté que " d’une façon générale la plaignante est plus crédible que l’accusé, qui modifie sa version au fur et à mesure de l’instruction en fonction des éléments de preuve qui lui ont soumis et qui sourit de façon totalement inadéquate lorsque sa victime évoque ses souffrances. La plaignante est constante dans l’ensemble et montre une émotion authentique et convaincante. Elle ne donne pas l’impression de vouloir en rajouter et la plupart du temps n’est pas à l’origine de l’ouverture de l’enquête. On ne peut donc la soupçonner, comme le fait l’accusé, de vouloir à tout prix l’envoyer en prison. On précisera que le doute éprouvé dans le cas précédent concerne la culpabilité de l’accusé et n’est pas de nature à entacher la crédibilité globale de la victime. Le Tribunal a par conséquent retenu les faits tels qu’elle les a relatés aux débats. " (jgt., pp. 10-11). Le jugement souligne encore que I.________ a vécu dans la peur, est encore sous l'emprise de son mari et a ressenti le besoin, tout au long de l'audience, de se justifier (jgt., p. 16). S'il est vrai que le tribunal n'a pas développé les faits relatifs au cas 5 (jgt., p. 11), ceux-ci s'inscrivent toutefois dans le contexte des violences et des menaces continuelles et répétées. L'autorité intimée a exposé qu'elle se fondait sur les déclarations crédibles de la plaignante et sur le fait que U.________ avait un intérêt à mentir (jgt., p. 11). Les explications fournies au sujet de l'appréciation de la crédibilité de la victime (jgt., pp. 10-11) suffisent à comprendre les fondements de la conviction du tribunal. Les premiers juges ont en effet considéré que I.________ était sincère et que les faits s'étaient déroulés de la manière qu'elle a décrite, s'agissant des menaces proférées par U.________ (cas 5), qui s'inscrivent par ailleurs dans son comportement violent. L'état de fait du jugement – qui forme un tout – permet d'admettre que cette motivation n'est ni douteuse, ni insuffisante. En ce qui concerne les cas 6, 7 et 8, les déclarations de I.________ ne constituent qu'une partie de la motivation. S'agissant du cas 6 (jgt., pp. 11-12), le tribunal a en effet relevé que le comportement décrit par la victime était " dans le style " de l'accusé et que les dénégations de celui-ci étaient justifiées par des motifs tactiques. Les premiers juges ont poursuivi leur motivation en ajoutant que [...] était partie parce que l'accusé avait commencé à " parler fort ", de telle sorte qu'il n'était pas surprenant de considérer qu'une scène ait éclaté après le départ des visites. Ils sont ainsi parvenus à la conviction que les faits s'étaient déroulés de la manière décrite par la plaignante. Les déclarations faites par I.________ au sujet du cas 7 (jgt., pp. 12-13) ont été considérées comme étant crédibles par le tribunal. En outre, elles sont corroborées par le témoignage de [...], par la découverte par la police d'une blouse et d'un soutien-gorge déchirés ainsi que par le fait que la victime n'avait aucun intérêt à inventer les faits pour faire arrêter son conjoint, celle-ci étant disposée à reprendre la vie commune. Ces motifs sont pertinents et la conviction des premiers juges quant à la crédibilité des déclarations de I.________ n'apparaît nullement arbitraire. A l'opposé, le jugement met en exergue de manière adéquate les contradictions de l'accusé qui ont permis d'asseoir la conviction du tribunal quant à son absence de crédibilité. S'agissant du cas 8 (jgt., pp. 14-15), l'autorité intimée a acquis la conviction que les faits s'étaient déroulés de la manière décrite par I.________, son récit étant corroboré par les hématomes constatés par les policiers. Une telle motivation ne prête pas le flanc à la critique et aucun des arguments du recourant ne permet de conclure que les premiers juges auraient dû éprouver un doute concret et irréductible quant à la véracité des propos de la victime. En définitive, il apparaît que la motivation du jugement est, sur ces points, suffisante et le dossier ne contient aucun élément propre à mettre en doute l’existence des faits tels qu’ils ont été constatés par le tribunal.</w:t>
      </w:r>
    </w:p>
    <w:p>
      <w:r>
        <w:rPr>
          <w:b/>
        </w:rPr>
        <w:t>E. 2</w:t>
      </w:r>
    </w:p>
    <w:p>
      <w:r>
        <w:t>Invoquant le moyen de nullité de l'art. 411 let. h CPP, le recourant soutient que le tribunal n'a pas pris en considération un élément ressortant du rapport de police du 7 juillet 2010 (pièce 71), qui fait état de ce que I.________ se serait présentée dans les locaux de la police pour se plaindre de violences occasionnées par son époux, avant d'admettre qu'il s'agissait de cas qui avaient déjà été traités.</w:t>
      </w:r>
    </w:p>
    <w:p>
      <w:r>
        <w:rPr>
          <w:b/>
        </w:rPr>
        <w:t>E. 2.1</w:t>
      </w:r>
    </w:p>
    <w:p>
      <w:r>
        <w:t>Aux termes de l'art. 183 ch. 1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Le bien juridique protégé par cette disposition est la liberté de déplacement. Les éléments constitutifs de la séquestration sont réalisés si la personne est privée de sa liberté d'aller et venir et de choisir le lieu où elle souhaite rester. La doctrine et la jurisprudence admettent que, s'il n'y a pas séquestration lorsque la personne n'est retenue que pendant un laps de temps insignifiant, par exemple pour lui demander l'heure. Il n'est en revanche pas nécessaire que la privation de liberté dure longtemps, quelques minutes étant suffisantes (TF 6S.506/2002 du 11 mars 2003 c. 2.2 et les références citées). Le moyen utilisé pour atteindre le résultat, soit la privation de liberté, n'est pas décrit par la loi. Une personne peut être séquestrée par le recours à la menace, à la violence, en soustrayant les moyens dont elle a besoin pour partir, ou encore en la plaçant dans des conditions telles qu'elle se sent dans l'impossibilité de s'en aller (Corboz, Les infractions en droit suisse, vol. I., Berne 2002, n° 13 et 14 ad art. 183 et 184 CP). Il suffit que le moyen, de manière compréhensible, soit propre à empêcher la personne de partir. Il n'est pas nécessaire que l'empêchement soit réel; il suffit par exemple de faire croire que la porte est fermée (Corboz, op. cit., n° 15 ad art. 183 et 184 CP</w:t>
      </w:r>
    </w:p>
    <w:p>
      <w:r>
        <w:rPr>
          <w:b/>
        </w:rPr>
        <w:t>E. 2.2</w:t>
      </w:r>
    </w:p>
    <w:p>
      <w:r>
        <w:t>Dans le cas présent, le recourant tente, pour l'essentiel, de remettre en cause les faits retenus par les premiers juges, ce qui est irrecevable dans le cadre d'un recours en réforme. En outre, son argumentation, selon laquelle les menaces ne seraient pas suffisamment qualifiées, est vaine. La séquestration a été retenue à raison de deux comportements. Dans le cas 1 (jgt., p. 7, par. 3), selon les déclarations concordantes des parties, U.________ a interdit à I.________ de quitter l'appartement en la menaçant de la tuer si elle ne respectait pas sa volonté. Dans la mesure où cette dernière, régulièrement battue, rabaissée et humiliée, avait très peur de l'accusé et de ses menaces, elle a donc respecté ses injonctions. L'épouse, qui subissait ce climat de violence relationnelle, ne pouvait que redouter que le recourant ne mette ses menaces à exécution. Dans un tel contexte, le moyen était propre à empêcher celle-ci de partir. Au demeurant, il est acquis que U.________ a enfermé sa compagne contre le gré de celle-ci. Les éléments constitutifs de la séquestration sont réalisés, I.________ ayant été privée de s'en aller selon ses vœux en raison des menaces de son compagnon. En ce qui concerne le cas 8 (jgt., p. 14, par. 1), le recourant ne s'est pas limité à menacer sérieusement I.________. En effet, à la suite d'une dispute au cours de laquelle cette dernière a annoncé son intention de le quitter, U.________ l'a empêchée de partir en la privant de son téléphone portable, en la retenant par les hanches, en fermant la porte à clé, en la menaçant de lui casser les dents ainsi qu'en la forçant à lui remettre les documents concernant leur bébé et en les cachant. Il l'a encore fait tomber au sol avant de lui enlever son pantalon et sa culotte afin de l'empêcher de sortir. Au vu de ces éléments, c'est à juste titre que les premiers juges ont retenu la séquestration dans ce cas également, le recourant ayant agi de la sorte pour éviter que I.________ le quitte. Mal fondé, le moyen doit être rejeté.</w:t>
      </w:r>
    </w:p>
    <w:p>
      <w:r>
        <w:rPr>
          <w:b/>
        </w:rPr>
        <w:t>E. 3</w:t>
      </w:r>
    </w:p>
    <w:p>
      <w:r>
        <w:t>Invoquant les art. 42 et 43 CP, le recourant soutient que l'autorité intimée aurait dû lui accorder le sursis, subsidiairement le sursis partiel. Selon lui, il n'existerait aurait aucun motif de poser un pronostic défavorable, en particulier au vu de son absence d'antécédents.</w:t>
      </w:r>
    </w:p>
    <w:p>
      <w:r>
        <w:rPr>
          <w:b/>
        </w:rPr>
        <w:t>E. 3.1</w:t>
      </w:r>
    </w:p>
    <w:p>
      <w:r>
        <w:t>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précité, c. 4.2.1).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pp. 213 ss, spéc. p. 220). Le sursis est désormais la règle dont on ne peut s'écarter qu'en présence d'un pronostic défavorable. Il prime en cas d'incertitude (ATF 134 IV 5 c. 4.2.2). Un pronostic défavorable exclut également le sursis partiel. En effet, s'il n'existe aucune perspective que l'auteur puisse être influencé de quelque manière par un sursis complet ou partiel, la peine doit être entièrement exécutée (ATF 134 IV 10 c. 5.3.1 et les références citées).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 tout ou rien "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(TF 6B_492/2008 du 19 mai 2009 c. 3.1.1; ATF 134 IV 1, précité, c. 5.5.2).</w:t>
      </w:r>
    </w:p>
    <w:p>
      <w:r>
        <w:rPr>
          <w:b/>
        </w:rPr>
        <w:t>E. 3.2</w:t>
      </w:r>
    </w:p>
    <w:p>
      <w:r>
        <w:t>En ce qui concerne le risque de récidive, il sied de préciser que le tribunal apprécie librement la force probante d'une expertise. Cette liberté trouve sa limite dans l'interdiction de l'arbitraire. Si le juge n'est en principe pas lié par les conclusions de l'expert, il ne peut s'en défaire, à peine de violer l'art. 9 Cst., qu'en exposant les motifs déterminants et les circonstances bien établies qui lui commandent d'agir de la sorte. Tel serait le cas si des motifs suffisants ou de sérieux indices lui faisaient douter de l'exactitude d'une expertise (ATF 129 I 49 c. 4; 118 Ia 144 c. 1c). En l'espèce, au moment de se déterminer sur le risque de récidive présenté par U.________, les experts ont considéré qu'" à court terme, les éléments protecteurs paraissent actuellement efficaces et bien que le risque de récidive ne soit pas nul, il se situe plutôt dans un registre faible. A moyen et long terme, le risque de récidive doit être évalué comme plus élevé. ". Dans son examen de la question du sursis, le tribunal s'est écarté de l'opinion des experts en considérant qu'au vu de la double réitération en cours d'enquête, postérieure au rapport d'expertise du 24 juillet 2009, le risque de récidive était important. Au vu de ce qui précède, il apparaît que les motifs pour lesquels le tribunal s'est écarté de l'opinion des experts sont parfaitement pertinents.</w:t>
      </w:r>
    </w:p>
    <w:p>
      <w:r>
        <w:rPr>
          <w:b/>
        </w:rPr>
        <w:t>E. 3.3</w:t>
      </w:r>
    </w:p>
    <w:p>
      <w:r>
        <w:t>Le recourant a été condamné à une peine privative de liberté inférieure à deux ans, de sorte que la condition objective du sursis est réalisée. Il s'agit donc de déterminer si une peine ferme est nécessaire pour le détourner d'autres crimes ou délits. Selon les constatations des premiers juges, U.________ n'a pas d'inscription à son casier judiciaire. Il n'en demeure pas moins que les renseignements à son sujet ne sont pas favorables. Sa précédente amie avait déjà déposé une plainte pour des violences en 2002 et signalait des problèmes d’alcool (jgt., p. 5 et p. 16). L’accusé ne se remet nullement en question et estime n’avoir aucun problème de violence ou d’alcool (jgt., p. 16). II a suivi trois séances à la consultation Violence et Famille, avant de renoncer en confessant n'y avoir rien appris (jgt., p. 16). Selon lui, il aurait juste commis une erreur, corrigée dès sa première incarcération (jgt., p. 16). U.________ a été placé en détention préventive du 10 janvier au 17 mars 2009. Il a été libéré, après avoir été avisé qu’en cas de réitération de violences conjugales, il serait arrêté une nouvelle fois. Il a déclaré que cela ne se produirait pas et s’est dit prêt à suivre le programme de la Fondation Jeunesse et Famille destiné aux auteurs d’actes de violence. Il a participé à trois séances du programme précité puis y a renoncé. A la suite de nouvelles violences à l'encontre de I.________, il a à nouveau été placé en détention préventive du 3 au</w:t>
      </w:r>
    </w:p>
    <w:p>
      <w:r>
        <w:rPr>
          <w:b/>
        </w:rPr>
        <w:t>E. 8</w:t>
      </w:r>
    </w:p>
    <w:p>
      <w:r>
        <w:t>août 2009 et, après avoir réitéré une seconde fois, dès le 16 mars 2010. Il a ainsi récidivé deux fois en cours d'enquête, dans le même domaine d'infractions et avec la même intensité, ce malgré la naissance de son enfant et son engagement à ne pas recommencer. Ce comportement est particulièrement inquiétant et démontre également que deux incarcérations n'ont pas suffit à endiguer un risque de récidive qui apparaît sérieux. Au demeurant, l'autorité intimée a encore souligné que l'accusé n'avait pris aucune conscience de ses fautes, n'avait pas formulé de regrets émotionnellement ressentis et avait fait une impression désastreuse au tribunal, en paraissant notamment amusé lorsque son épouse évoquait les faits et ses souffrances (jgt., p. 17). Au travers de l'ensemble de son comportement, il est indéniable que l'accusé s'est montré particulièrement imperméable au repentir et il est sérieusement à prévoir qu'il persiste dans son comportement, I.________ n'excluant pas totalement une reprise de la vie commune. L'ensemble de ces éléments, pertinents pour apprécier les perspectives d'amendement de l'intéressé, démontre que ce dernier n'a pas véritablement pris conscience de la gravité de ses actes et de la nécessité de modifier son comportement, ce qui justifie par conséquent de poser un pronostic défavorable. Dans ces circonstances, on ne saurait reprocher aux premiers juges d'avoir abusé de leur large pouvoir d'appréciation en estimant que les conditions subjectives du sursis n'étaient pas réalisées. C'est ainsi à juste titre que seule une peine ferme a été jugée de nature à le détourner de la commission de nouveaux crimes ou délits et c'est en vain qu'il soutient que les premiers juges n'ont pas suffisamment motivé leur décision de ne pas lui octroyer le sursis partiel. Mal fondé, le moyen doit être rejeté. IV. En définitive, aucun des moyens invoqués par U.________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