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546 vom 18. Oktober 2010</w:t>
      </w:r>
    </w:p>
    <w:p>
      <w:r>
        <w:t>VD Tribunal cantonal, 2010-10-18, FR</w:t>
      </w:r>
    </w:p>
    <w:p>
      <w:r>
        <w:rPr>
          <w:b/>
        </w:rPr>
        <w:t xml:space="preserve">Quelle: </w:t>
      </w:r>
      <w:r>
        <w:t>https://mcp.opencaselaw.ch/entscheid/vd_findinfo_HC___2010___546</w:t>
      </w:r>
    </w:p>
    <w:p>
      <w:r>
        <w:t>FR: VD_FINDINFO HC / 2010 / 546 du 18 octobre 2010</w:t>
      </w:r>
    </w:p>
    <w:p>
      <w:r>
        <w:t>IT: VD_FINDINFO HC / 2010 / 546 del 18 ottobre 2010</w:t>
      </w:r>
    </w:p>
    <w:p>
      <w:pPr>
        <w:pStyle w:val="Heading2"/>
      </w:pPr>
      <w:r>
        <w:t>Regeste</w:t>
      </w:r>
    </w:p>
    <w:p>
      <w:r>
        <w:t>MESURE DE CONTRAINTE{DROIT DES ÉTRANGERS}, EXPULSION{DROIT DES ÉTRANGERS}, DÉTENTION AUX FINS D'EXPULSION, RISQUE DE FUITE, CHOSE JUGÉE, IMPOSSIBILITÉ | 69 al. 2 LEtr,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14 septembre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les parties en deuxième instance sont ainsi recevables.</w:t>
      </w:r>
    </w:p>
    <w:p>
      <w:r>
        <w:rPr>
          <w:b/>
        </w:rPr>
        <w:t>E. 4</w:t>
      </w:r>
    </w:p>
    <w:p>
      <w:r>
        <w:t>Le recourant soutient que sa détention administrative n'est pas justifiée dès lors qu'il a déclaré accepter de quitter la Suisse pour se rendre aux Etats-Unis.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Selon l'art. 69 al. 2 LEtr, si l'étranger a la possibilité de se rendre légalement dans plusieurs Etats, l'autorité compétente peut le renvoyer ou l'expulser dans le pays de son choix. En l'espèce, le recourant est dépourvu d'autorisation de séjour en Suisse. Il a refusé de signer une déclaration de retour volontaire le 10 mai 2010. A l'audience du juge de paix, il a certes dit être prêt à quitter volontairement la Suisse dans la mesure où il ne serait pas détenu administrativement, menaçant cependant de se suicider s'il était contraint de prendre un vol pour Prishtina. Le 14 septembre 2010, il a refusé d'embarquer dans le vol à destination de cette ville qui lui avait été réservé. Dans un entretien préparatoire du 28 septembre 2010, il a clairement indiqué qu'il n'était absolument pas disposé à embarquer sur un vol de ligne. Il y a dès lors lieu d'admettre que le recourant a laissé clairement apparaître qu'il n'est pas disposé à retourner dans son pays d'origine. Le fait que le recourant serait d'accord de quitter la Suisse pour se rendre au Etats-Unis n'est pas déterminant à cet égard. En effet, les documents qu'il a produits spécifient qu'ils ne valent pas visa pour l'entrée dans ce pays et que la procédure peut durer plusieurs années. Il n'y a dès lors en l'état pas de possibilité pour le recourant d'entrer légalement aux Etats-Unis. Le recours doit être rejeté sur ce point.</w:t>
      </w:r>
    </w:p>
    <w:p>
      <w:r>
        <w:rPr>
          <w:b/>
        </w:rPr>
        <w:t>E. 5</w:t>
      </w:r>
    </w:p>
    <w:p>
      <w:r>
        <w:t>Le recourant conteste la décision de l'ODM du 27 juillet 2009 lorsque celle-ci constate que l'Etat kosovar serait en mesure de le protéger. Il fait valoir que les désordres civils dans ce pays sont des faits notoires et qu'au vu de ceux-ci, il est logique qu'il ait renoncé à déposer une plainte pénale contre ses assaillants. Il expose que la ville d'où il vient a été particulièrement éprouvée par les faits de guerre, que ses habitants observent de manière extrêmement rigoureuse les traditions religieuses et familiales, d'où une pression de l'entourage particulièrement vive et une menace particulièrement importante pour l'intégrité de la personne qui ne se conformerait pas auxdits usages.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En l'espèce, les arguments invoqués par le recourant ne font pas apparaître la décision de l'ODM comme radicalement nulle. Il appartenait au recourant de faire valoir en premier lieu cette argumentation dans le cadre du recours qu'il a déposé contre cette décision. Le recours doit être rejeté sur ce point.</w:t>
      </w:r>
    </w:p>
    <w:p>
      <w:r>
        <w:rPr>
          <w:b/>
        </w:rPr>
        <w:t>E. 6</w:t>
      </w:r>
    </w:p>
    <w:p>
      <w:r>
        <w:t>Pour le surplus, les démarches nécessaires à l'exécution du renvoi sont en cours, sous la forme d'une demande d'un vol spécial, si bien que l'exigence de l'art. 76 al. 4 LEtr est respectée.</w:t>
      </w:r>
    </w:p>
    <w:p>
      <w:r>
        <w:rPr>
          <w:b/>
        </w:rPr>
        <w:t>E. 7</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18 octobre 2010 Le dispositif de l'arrêt qui précède est communiqué par écrit aux intéressés. Le greffier : Du L'arrêt qui précède, dont la rédaction a été approuvée à huis clos, est notifié en expédition complète, par l'envoi de photocopies, à : ‑ Me Thierry de Mestral (pour A.H.________),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