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545 vom 15. Oktober 2010</w:t>
      </w:r>
    </w:p>
    <w:p>
      <w:r>
        <w:t>VD Tribunal cantonal, 2010-10-15, FR</w:t>
      </w:r>
    </w:p>
    <w:p>
      <w:r>
        <w:rPr>
          <w:b/>
        </w:rPr>
        <w:t xml:space="preserve">Quelle: </w:t>
      </w:r>
      <w:r>
        <w:t>https://mcp.opencaselaw.ch/entscheid/vd_findinfo_HC___2010___545</w:t>
      </w:r>
    </w:p>
    <w:p>
      <w:r>
        <w:t>FR: VD_FINDINFO HC / 2010 / 545 du 15 octobre 2010</w:t>
      </w:r>
    </w:p>
    <w:p>
      <w:r>
        <w:t>IT: VD_FINDINFO HC / 2010 / 545 del 15 ottobre 2010</w:t>
      </w:r>
    </w:p>
    <w:p>
      <w:pPr>
        <w:pStyle w:val="Heading2"/>
      </w:pPr>
      <w:r>
        <w:t>Regeste</w:t>
      </w:r>
    </w:p>
    <w:p>
      <w:r>
        <w:t>EFFICACITÉ, RÉSILIATION, RÉSILIATION ABUSIVE, EXPULSION DE LOCATAIRE | 257d al. 1 CO, 271 al. 1 CO, 92 CPC</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w:t>
      </w:r>
    </w:p>
    <w:p>
      <w:r>
        <w:rPr>
          <w:b/>
        </w:rPr>
        <w:t>E. 4</w:t>
      </w:r>
    </w:p>
    <w:p>
      <w:r>
        <w:t>Le recourant conteste le montant des dépens de première instance alloués aux intimés à titre de participation aux honoraires de leur conseil. Le premier juge a inclus dans les dépens litigieux les procédés du conseil des intimés dans le cadre de la procédure devant la commission de conciliation. A juste titre, dès lors qu'en vertu de l'art. 274g CO, il devait statuer sur la validité du congé. Au vu de la requête déposée devant la commission de conciliation, le montant de 700 fr. alloué n'apparaît pas disproportionné. Le recours doit être rejeté sur ce point.</w:t>
      </w:r>
    </w:p>
    <w:p>
      <w:r>
        <w:rPr>
          <w:b/>
        </w:rPr>
        <w:t>E. 5</w:t>
      </w:r>
    </w:p>
    <w:p>
      <w:r>
        <w:t>En conclusion, le recours doit être rejeté et l'ordonnance confirmée. Les frais de deuxième instance du recourant sont arrêtés à 350 fr. (art. 230 TFJC [tarif du 4 décembre 1984 des frais judiciaires en matière civile; RSV 270.11.5). Obtenant gain de cause, les intimés ont droit à des dépens de deuxième instance fixés à 300 fr. (art. 91 et 92 CPC; art. 2 al. 1 ch. 33, art. 3 et 5 ch. 2 TAv [tarif du 17 juin 1986 des honoraires d'avocat dus à titre de dépens; RSV 177.11.3]). Par ces motifs, la Chambre des recours du Tribunal cantonal, statuant à huis clos, prononce : I. Le recours est rejeté. II. L'ordonnance est confirmée. III. Les frais de deuxième instance du recourant sont arrêtés à 350 fr. (trois cent cinquante francs). IV. Le recourant B.________ doit verser aux intimés A.L.________ et B.L.________, solidairement entre eux, la somme de 300 fr. (trois cents francs) à titre de dépens de deuxième instance. V. L'arrêt motivé est exécutoire. Le président :               Le greffier : Du 15 octobre 2010 Le dispositif de l'arrêt qui précède est communiqué par écrit aux intéressés. Le greffier : Du L'arrêt qui précède, dont la rédaction a été approuvée à huis clos, est notifié à : ‑ M. Jean-Daniel Nicaty (pour B.________), ‑ Me Jean-Pierre Bloch (pour A. et B.L.________). La Chambre des recours considère que la valeur litigieuse est de 36'540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