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539 vom 11. Oktober 2010</w:t>
      </w:r>
    </w:p>
    <w:p>
      <w:r>
        <w:t>VD Tribunal cantonal, 2010-10-11, FR</w:t>
      </w:r>
    </w:p>
    <w:p>
      <w:r>
        <w:rPr>
          <w:b/>
        </w:rPr>
        <w:t xml:space="preserve">Quelle: </w:t>
      </w:r>
      <w:r>
        <w:t>https://mcp.opencaselaw.ch/entscheid/vd_findinfo_HC___2010___539</w:t>
      </w:r>
    </w:p>
    <w:p>
      <w:r>
        <w:t>FR: VD_FINDINFO HC / 2010 / 539 du 11 octobre 2010</w:t>
      </w:r>
    </w:p>
    <w:p>
      <w:r>
        <w:t>IT: VD_FINDINFO HC / 2010 / 539 del 11 ottobre 2010</w:t>
      </w:r>
    </w:p>
    <w:p>
      <w:pPr>
        <w:pStyle w:val="Heading2"/>
      </w:pPr>
      <w:r>
        <w:t>Regeste</w:t>
      </w:r>
    </w:p>
    <w:p>
      <w:r>
        <w:t>LOI FÉDÉRALE SUR LA LIBRE CIRCULATION DES AVOCATS, MODÉRATION, HONORAIRES CALCULÉS EN FONCTION DU RÉSULTAT POSITIF, AVOCAT, HONORAIRES | 12 let. i LLCA, 45 al. 1 LPAv, 48 LPAv, 51 LPAv</w:t>
      </w:r>
    </w:p>
    <w:p>
      <w:pPr>
        <w:pStyle w:val="Heading2"/>
      </w:pPr>
      <w:r>
        <w:t>Erwägungen</w:t>
      </w:r>
    </w:p>
    <w:p>
      <w:r>
        <w:rPr>
          <w:b/>
        </w:rPr>
        <w:t>E. 1</w:t>
      </w:r>
    </w:p>
    <w:p>
      <w:r>
        <w:t>a) 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vertu de l’art. 51 LPAv, la décision de modération peut faire l’objet d’un recours. Celui-ci, depuis le 1 er janvier 2008, ne relève plus de la Cour de modération, qui a été supprimée (art. 67 et 73 al. 2 LOJV [Loi d’organisation judiciaire du 12 décembre 1979, RSV 173.01]) mais de la Chambre des recours, plus précisément de la seconde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 applicables par renvoi de l’art. 99 LPA-VD - et l’art. 51 LPAv, le délai de recours est de trente jours, l’acte de recours devant être signé et indiquer les conclusions et motifs du recours. b) En l’espèce, on comprend des écritures des 4 et 7 juin 2010 que le recourant réclame la réduction des honoraires des intimés. Une telle conclusion est suffisante en matière de modération (cf Jomini, Les honoraires et débours de l’avocat vaudois et leur modération, in JT 1982 III 2 ss, n. 4, p. 4). Le recours et son complément ont été déposés en temps utile.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w:t>
      </w:r>
    </w:p>
    <w:p>
      <w:r>
        <w:rPr>
          <w:b/>
        </w:rPr>
        <w:t>E. 5</w:t>
      </w:r>
    </w:p>
    <w:p>
      <w:r>
        <w:t>En conclusion, le recours doit être rejeté et le prononcé confirmé. Les frais de deuxième instance du recourant sont arrêtés à 150 fr. (art. 249 TFJC [tarif du 4 décembre 1984 des frais judiciaires en matière civile; RSV 270.11.5]). Il n’y a pas lieu d’allouer aux intimés des dépens de deuxième instance, dès lors qu’ils ont procédé en personne. Par ces motifs, la Chambre des recours du Tribunal cantonal, statuant à huis clos, prononce : I. Le recours est rejeté. II. Le prononcé est confirmé. III. Les frais de deuxième instance du recourant Q.________ sont arrêtés à 150 fr. (cent cinquante francs). IV. L'arrêt motivé est exécutoire. Le président :               La greffière : Du 11 octobre 2010 Le dispositif de l'arrêt qui précède est communiqué par écrit aux intéressés. La greffière : Du L'arrêt qui précède, dont la rédaction a été approuvée à huis clos, est notifié en expédition complète, par l'envoi de photocopies, à : ‑ Me K.________, avocate, ‑ Me L.________, avocat, - M.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