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531 vom 17. August 2010</w:t>
      </w:r>
    </w:p>
    <w:p>
      <w:r>
        <w:t>VD Tribunal cantonal, 2010-08-17, FR</w:t>
      </w:r>
    </w:p>
    <w:p>
      <w:r>
        <w:rPr>
          <w:b/>
        </w:rPr>
        <w:t xml:space="preserve">Quelle: </w:t>
      </w:r>
      <w:r>
        <w:t>https://mcp.opencaselaw.ch/entscheid/vd_findinfo_HC___2010___531</w:t>
      </w:r>
    </w:p>
    <w:p>
      <w:r>
        <w:t>FR: VD_FINDINFO HC / 2010 / 531 du 17 août 2010</w:t>
      </w:r>
    </w:p>
    <w:p>
      <w:r>
        <w:t>IT: VD_FINDINFO HC / 2010 / 531 del 17 agosto 2010</w:t>
      </w:r>
    </w:p>
    <w:p>
      <w:pPr>
        <w:pStyle w:val="Heading2"/>
      </w:pPr>
      <w:r>
        <w:t>Regeste</w:t>
      </w:r>
    </w:p>
    <w:p>
      <w:r>
        <w:t>PAR MÉTIER, AFFILIATION À UNE BANDE, AGGRAVATION DE LA PEINE, COAUTEUR{DROIT PÉNAL}, IN DUBIO PRO REO, MOTIVATION DE LA DÉCISION | 139 ch. 2 CP, 139 ch. 3 al. 2 CP, 411 let. h CPP, 411 let. i CPP, 411 let. j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insuffisances ou des lacunes dans l’état de fait retenu par le tribunal (art. 411 let. h CPP) ou encore des doutes sur l’existence des faits admis et importants pour le jugement de la cause (art. 411 let. i CPP), éventualités qui ne sont en principe plus examinées dans le cadre du recours en réforme.</w:t>
      </w:r>
    </w:p>
    <w:p>
      <w:r>
        <w:rPr>
          <w:b/>
        </w:rPr>
        <w:t>E. 2</w:t>
      </w:r>
    </w:p>
    <w:p>
      <w:r>
        <w:t>Le recourant se prévaut des moyens de nullité de l'art. 411 let. h, i et j CPP.</w:t>
      </w:r>
    </w:p>
    <w:p>
      <w:r>
        <w:rPr>
          <w:b/>
        </w:rPr>
        <w:t>E. 2.1</w:t>
      </w:r>
    </w:p>
    <w:p>
      <w:r>
        <w:t>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w:t>
      </w:r>
    </w:p>
    <w:p>
      <w:r>
        <w:rPr>
          <w:b/>
        </w:rPr>
        <w:t>E. 2.2</w:t>
      </w:r>
    </w:p>
    <w:p>
      <w:r>
        <w:t>En ce qui concerne en particulier l’art. 411 let. i CPP, le recourant soutient que le raisonnement suivi par les premiers juge est arbitraire et viole le principe de la présomption d’innocence. a) En procédure vaudoise, le principe in dubio pro reo est considéré comme un moyen de nullité et non plus de réforme (JT 2007 III 82 s.; CASS, 11 juillet 2006, n° 256; 4 janvier 2006, n° 75; 13 janvier 2005, n° 18; 29 décembre 2004, n° 440). En tant que règle sur le fardeau de la preuve, sa violation est examinée sous l’angle de l’art. 411 let. g CPP (JT 2003 III 70, c. 2a), que le recourant n'invoque pas. Si elle concerne l’appréciation des preuves, elle est cependant envisagée sous l’angle de l’art. 411 let. i CPP, comme le plaide l'intéressé. La cour de céans examine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b) Pour le reste, le moyen de nullité de l’art. 411 let. i CPP est ouvert s’il existe des doutes sur l’existence des faits admis et importants pour le jugement de la cause, ce que le recourant plaide également.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p. 83; Besse-Matile/Abravanel, op. cit., p. 104 et les réf. cit.).</w:t>
      </w:r>
    </w:p>
    <w:p>
      <w:r>
        <w:rPr>
          <w:b/>
        </w:rPr>
        <w:t>E. 2.3</w:t>
      </w:r>
    </w:p>
    <w:p>
      <w:r>
        <w:t>Pour sa part, 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w:t>
      </w:r>
    </w:p>
    <w:p>
      <w:r>
        <w:rPr>
          <w:b/>
        </w:rPr>
        <w:t>E. 2.4</w:t>
      </w:r>
    </w:p>
    <w:p>
      <w:r>
        <w:t>En l'espèce, l'argumentation à l'appui des moyens de nullité se fonde en bonne partie sur les procès-verbaux d'audition, ce que le recourant n'est, conformément à la jurisprudence ci-dessus (c. 2.1a), pas admis à faire dans le cadre d'un recours en nullité. Cette argumentation est au surplus pour l'essentiel appellatoire. Elle doit, partant, être écartée dans cette mesure. Cela étant, il convient d'ajouter que le recourant avait admis avoir été présent sur les lieux de chaque cambriolage; en outre, il ne disposait d'aucune ressource stable, fréquentait ses co-accusés avant leur arrivée en Suisse, avait été condamné précédemment pour des infractions perpétrées de concert avec l'un d'eux et avait été mis en cause par ses deux acolytes dans la présente affaire. Le rapprochement de ces éléments permet, sans arbitraire aucun, de tenir pour avérée sa participation aux cambriolages ici en cause. Même si, comme le soutient le recourant, il devait être retenu qu'il n'était arrivé en Suisse que le 23 janvier 2010, il n'existerait pour autant aucune contradiction entre cette hypothèse et les dates retenues par les premiers juges pour les cambriolages. Certes, la motivation à l'appui de la participation du recourant aux deux derniers des cinq cambriolages ici en cause est moins précise que pour les trois premiers. En effet, le jugement se limite, pour ces cas-là, à mentionner que le recourant "attendait dans la voiture". Il n'en demeure cependant pas moins, comme déjà indiqué, que l'intéressé a admis sa présence sur les lieux à chaque reprise. Il ne saurait donc crotiquer, sous l'angle de la nullité, le fait que sa version factuelle, limitée à sa seule présence sur les lieux, ait été retenue par le tribunal correctionnel. Au surplus, la question de savoir si et, cas échéant, dans quelle mesure, la seule présence de l'intéressé influe sur la qualification de l'infraction relève du recours en réforme. Il doit d'office être ajouté, quant aux faits survenus à Muttenz (plainte retirée), que le vol est réputé consommé vu le concours d'infractions, étant précisé que le vol au préjudice d'une victime ne faisant pas partie des proches ou des familiers de l'auteur est poursuivi d'office. Le recours en nullité doit donc être rejeté.</w:t>
      </w:r>
    </w:p>
    <w:p>
      <w:r>
        <w:rPr>
          <w:b/>
        </w:rPr>
        <w:t>E. 3</w:t>
      </w:r>
    </w:p>
    <w:p>
      <w:r>
        <w:t>En réforme, le recourant conteste expressément deux circonstances aggravantes retenues à sa charge, à savoir d'une part d'avoir agi en bande et d'autre part par métier. 3.1a) Selon la jurisprudence, l’affiliation à une bande (cf., pour ce qui est de l'infraction de vol, l'art. 139 ch. 3 al. 2 CP) est réalisée lorsque deux ou plusieurs personnes manifestent expressément ou par actes concluants la volonté de s'associer en vue de commettre ensemble plusieurs infractions indépendantes, même si elles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Du point de vue subjectif, il suffit que l'auteur connaisse et veuille les circonstances de fait qui correspondent à la définition de la bande (ATF 124 IV 86, c. 2b, 286, c. 2a; TF 6B_861/2009 du 18 février 2010, c. 3.1 et les arrêts cités). Cette qualification suppose un minimum d'organisation (par exemple une répartition des tâches ou des rôles) et que la coopération des intéressés soit suffisamment intense pour que l'on puisse parler d'un groupe stable, même s'il n'est qu'éphémère (ATF 132 IV 132, c. 5.2; TF 6B_1047/2008 du 20 mars 2009, c. 4.1; CASS, 9 mars 2010, n° 110). Deux personnes peuvent former une bande (ATF 135 IV 158, précité, et les réf. citées). b) En l'espèce, il est établi que les trois accusés avaient constitué une organisation pérenne de longue date. En effet, ils se connaissaient avant leur arrivée en Suisse déjà et, pour deux d'entre eux, avaient été condamnés précédemment pour des infractions perpétrées en commun. Ils étaient en outre convenus d'agir de concert sur la base d'une répartition des rôles immuable, chacune des besognes, de conducteur, de guetteur et de cambrioleur, étant à chaque reprise dévolue à un même membre du groupe. Ce procédé témoigne d'une énergie délictueuse et d'une organisation sans faille. L'efficacité et, partant, la dangerosité du trio en a assurément été accrue. La circonstance aggravante de la bande est ainsi réalisée. Ce premier moyen doit donc être rejeté.</w:t>
      </w:r>
    </w:p>
    <w:p>
      <w:r>
        <w:rPr>
          <w:b/>
        </w:rPr>
        <w:t>E. 3.2</w:t>
      </w:r>
    </w:p>
    <w:p>
      <w:r>
        <w:t>En niant son affiliation à une bande, le recourant conteste en réalité son degré de participation. Il soutient ainsi n'avoir agi qu'en qualité de complice, et non comme co-auteur. a) Par opposition au complice au sens de l'art. 25 CP,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elle peut aussi résulter d'actes concluants et le dol éventuel quant au résultat suffit (ATF 125 IV 134, c. 3a; ATF 118 IV 397, c. 2b, JT 1995 IV 50). Il n'est pas nécessaire que le co-auteur participe à la conception du projet, il peut y adhérer ultérieurement (ATF 118 IV 397, précité; Trechsel, Kurzkommentar StGB, n. 12 ad art. 24). Il n'est d'ailleurs pas nécessaire que l'acte soit prémédité; le co-auteur peut s'y associer en cours d'exécution (ATF 108 IV 88, c. 2a). Le contenu de la volonté doit permettre de distinguer le co-auteur du participant accessoire :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(ATF 120 IV 17, c. 2d; ATF 120 IV 265, c. 2c aa, JT 1995 I 737 rés., et les réf. cit.). La seule volonté ne suffit cependant pas pour admettre la co-activité; il faut encore que le co-auteur participe effectivement à la prise de décision, à l'organisation ou à la réalisation de l'infraction (ATF 108 IV 88, précité); la jurisprudence récente, se référant à la doctrine, exige même que le co-auteur ait une certaine maîtrise des opérations et que son rôle soit plus ou moins indispensable (ATF 120 IV 17 et 265, précités; ATF 118 IV 397, précité), par quoi il faut entendre qu'il apporte une contribution déterminante à la survenance du résultat (ATF 125 IV 134, précité, c. 3d). Dès lors que l'infraction apparaît comme l'expression d'une volonté commune, chacun des co-auteurs est pénalement tenu pour le tout (ATF 109 IV 161, c. 4b et réf. cit., JT 1984 IV 131). b) En l'espèce, le jugement retient, de manière à lier la cour de céans (cf. l'art. 447 al. 2, 1ère et 2e phrases, CPP), que les trois accusés s'étaient "associés pour commettre des vols" en se répartissant les rôles lors des cambriolages; plus encore, chacun répondait "d'une tâche précise dans l'élaboration d'un but commun". Qui plus est, le recourant fréquentait ses co-accusés avant leur arrivée en Suisse et avait été condamné précédemment pour des infractions perpétrées de concert avec l'un d'eux. Ces éléments sont suffisants pour que le recourant soit considéré comme un co-auteur des infractions dans lesquelles il a été impliqué avec ses deux acolytes, et non comme un simple complice. Ce qui précède s'applique aussi aux deux cambriolages dans lesquels son rôle avait consisté à rester dans la voiture au volant de laquelle était assis l'un de ses comparses, qu'il ait ou non fait le guet. En effet, il savait parfaitement que, s'il se trouvait dans le véhicule, c'était afin d'attendre le retour de son acolyte ayant pénétré dans le logement cambriolé et pour acheminer le butin escompté.</w:t>
      </w:r>
    </w:p>
    <w:p>
      <w:r>
        <w:rPr>
          <w:b/>
        </w:rPr>
        <w:t>E. 3.3</w:t>
      </w:r>
    </w:p>
    <w:p>
      <w:r>
        <w:t>La seconde circonstance aggravante contestée est celle du métier. a) L'auteur agit par métier (cf., pour ce qui est de l'infraction de vol, l'art. 139 ch. 2 CP) s'il résulte du temps et des moyens consacrés à l'activité délictueuse, de la fréquence des actes pendant une durée déterminée, ainsi que des profits escomptés ou obtenus que l'auteur exerce l'activité délictueuse à la manière d'une profession, même accessoire (ATF 117 IV 63; ATF 116 IV 319, JT 1992 IV 79). Il faut que l'auteur aspire à obtenir des revenus relativement réguliers représentant un apport notable au financement de son genre de vie et qu'il se soit ainsi, d'une certaine façon, installé dans la délinquance (TF, 6B_861/2009 du 18 février 2010, et les arrêts cités). b) Il est constant en l'espèce que les trois co-accusés se sont rendus en Suisse pour y commettre des infractions contre le patrimoine. Aussi bien ont-ils perpétré cinq cambriolages en trois jours, les vols étant tous consommés pour les motifs énoncés au c. 2.4 ci-dessus. Certes, cette durée n'est pas très longue, mais elle s'est caractérisée par une importante activité délictueuse et n'a manifestement été interrompue que par l'arrestation des auteurs, le 25 janvier 2010, jour qui se trouvait être celui des deux derniers cambriolages. De surcroît, le recourant n'en est pas à sa première condamnation pour des infractions contre le patrimoine et n'exerce aucune activité professionnelle. Il y a donc tout lieu de supposer que les cambriolages perpétrés par les trois comparses se seraient poursuivis à une cadence aussi soutenue si les auteurs n'avaient pas été arrêtés à bref délai. Il doit ainsi être tenu pour établi, au vu des faits ci-dessus, que les infractions contre le patrimoine sont pour le recourant une activité récurrente qui lui tient lieu de source de revenu, à telle enseigne qu'il s'est installé dans la délinquance. La circonstance aggravante du métier est dès lors également réalisée.</w:t>
      </w:r>
    </w:p>
    <w:p>
      <w:r>
        <w:rPr>
          <w:b/>
        </w:rPr>
        <w:t>E. 4</w:t>
      </w:r>
    </w:p>
    <w:p>
      <w:r>
        <w:t>Le recourant ne critique la quotité de la peine qu'au bénéfice de ses moyens portant sur les circonstances aggravantes contestées. Il y a toutefois lieu de relever d'office que la mesure de la peine échappe au grief d'arbitraire à l'aune de l'art. 47 CP. En particulier, c'est à juste titre que le tribunal correctionnel a retenu à charge la gravité des faits, leur caractère récurrent, ainsi que le lourd passé judiciaire du recourant, ancré dans l'inactivité et la délinquance. De même, c'est à bon droit que les premiers juges ont mentionné à décharge le bon comportement de l'intéressé en détention. Aucun élément d'appréciation déterminant n'a été omis.</w:t>
      </w:r>
    </w:p>
    <w:p>
      <w:r>
        <w:rPr>
          <w:b/>
        </w:rPr>
        <w:t>E. 5</w:t>
      </w:r>
    </w:p>
    <w:p>
      <w:r>
        <w:t>En conclusion, le recours doit être rejeté en application de l'art. 431 al. 2 CPP et le jugement confirmé. Vu l'issue du recours, les frais de deuxième instance, y compris l'indemnité allouée à son défenseur d'office, par 440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