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513 vom 23. Juni 2010</w:t>
      </w:r>
    </w:p>
    <w:p>
      <w:r>
        <w:t>VD Tribunal cantonal, 2010-06-23, FR</w:t>
      </w:r>
    </w:p>
    <w:p>
      <w:r>
        <w:rPr>
          <w:b/>
        </w:rPr>
        <w:t xml:space="preserve">Quelle: </w:t>
      </w:r>
      <w:r>
        <w:t>https://mcp.opencaselaw.ch/entscheid/vd_findinfo_HC___2010___513</w:t>
      </w:r>
    </w:p>
    <w:p>
      <w:r>
        <w:t>FR: VD_FINDINFO HC / 2010 / 513 du 23 juin 2010</w:t>
      </w:r>
    </w:p>
    <w:p>
      <w:r>
        <w:t>IT: VD_FINDINFO HC / 2010 / 513 del 23 giugno 2010</w:t>
      </w:r>
    </w:p>
    <w:p>
      <w:pPr>
        <w:pStyle w:val="Heading2"/>
      </w:pPr>
      <w:r>
        <w:t>Regeste</w:t>
      </w:r>
    </w:p>
    <w:p>
      <w:r>
        <w:t>DROIT DU TRAVAIL, CONVENTION COLLECTIVE DE TRAVAIL | 343 CO, 451 ch. 2 CPC, 4 LECCT, 46 al. 2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2 CPC) au Tribunal cantonal contre les jugements rendus par un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du demandeur, immédiatement motivé, tend exclusivement à la réforme. Déposé en temps utile, il est recevable en la forme (art. 451 ch. 2 CPC par renvoi de l’art. 46 al. 2 LJT).</w:t>
      </w:r>
    </w:p>
    <w:p>
      <w:r>
        <w:rPr>
          <w:b/>
        </w:rPr>
        <w:t>E. 2</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JT 2003 III 3; Ducret/Osojnak, Procédures spéciales vaudoises, Lausanne 2008, n. 6 ad art. 46 LJT, p. 315).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S'agissant toujours de la recevabilité du recours du demandeur, pourrait se poser la question des conclusions, qui ne sont formellement pas les mêmes en première et deuxième instance. Par requête du 13 novembre 2009, le recourant a conclu, “en application de la Convention collective de travail du second oeuvre romand”, au paiement de 11’369 fr. “pour différence de salaire”. En revanche, comme on l’a vu plus haut, en deuxième instance, il a conclu à l’application de ladite convention et au renvoi de la cause au tribunal de prud’hommes pour détermination du montant auquel il a droit. Toutefois, on constate que cette situation est due à la décision prise par le président à l’audience préliminaire du 9 décembre 2009, par laquelle celui-ci relevait qu’il fallait trancher d’abord la soumission éventuelle de la défenderesse à la convention précitée. En d’autres termes, le président a décidé d’instruire et juger cette question sous forme de question préalable au sens de l’article 285 al. 1 CPC. L’article 20 LJT renvoie au Titre XII du Code de procédure civile, soit à la procédure sommaire. L’article 352 al. 3 CPC prévoit la possibilité, même en procédure sommaire, d’instruire et de juger séparément une question préjudicielle aux conditions prévues par l’article 285 CPC. Quand bien même, sous l’angle de la procédure, la décision laisse partiellement à désirer (cf. art. 286 et 287 CPC et la procédure formelle qui devrait être suivie), il n’en reste pas moins que seule cette question était donc soumise au Tribunal.</w:t>
      </w:r>
    </w:p>
    <w:p>
      <w:r>
        <w:rPr>
          <w:b/>
        </w:rPr>
        <w:t>E. 4</w:t>
      </w:r>
    </w:p>
    <w:p>
      <w:r>
        <w:t>Le recourant soutient que l'intimée doit être assujettie à la Convention collective de travail romande du second œuvre conformément à l'art. 2 de cette convention puisque celle-ci est une entreprise qui a fait exécuter, à titre accessoire, des travaux de second œuvre. Il affirme que l'intimée a à cet effet engagé quarante-huit personnes par contrat de durée indéterminée, dont lui-même. a) Le litige porte donc sur l'assujettissement de l'intimée à la Convention collective de travail romande du second œuvre 2007-2010 (ci-après: CCT), élargie en application de l’art.</w:t>
      </w:r>
    </w:p>
    <w:p>
      <w:r>
        <w:rPr>
          <w:b/>
        </w:rPr>
        <w:t>E. 7</w:t>
      </w:r>
    </w:p>
    <w:p>
      <w:r>
        <w:t>LECCT (Loi fédérale du 28 septembre 1956 permettant d’étendre le champ d’application de la convention collective de travail, RS 221.215.311), par arrêté du Conseil fédéral étendant le champ d'application de la convention collective de travail romande du second œuvre du 28 février 2008 (FF 2008 p. 1743), modifiée les 23 juillet 2008 et 18 mai 2009 (FF 2008 p. 6629 et FF 2009 p. 3059), valable jusqu’au 31 décembre 2010. b) Selon la jurisprudence, hors les cas prévus aux art. 356 al. 1 CO et 356b al. 1 CO, ainsi qu’en cas d’extension aux tiers selon la LECCT, les rapports de travail entre parties sont régis par le contrat individuel et la loi, éventuellement par un contrat-type de travail, mais pas par la convention collective (ATF 123 III 129 c. 3a, b et d). L’art. 1 al. 1 LECCT prévoit toutefois que, à la requête de toutes les parties contractantes,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En vertu de l'art. 4 al. 1 LECCT, les clauses de la convention prévues à l’article 323 aCO (actuellement art. 341 al. 1 et 357 CO) et les obligations incombant aux employeurs et travailleurs liés par la convention envers les parties contractantes conformément à l’article 323 al. 1 aCode (actuellement art. 357b al. 1 CO) s’appliquent également aux employeurs et travailleurs auxquels la convention est étendue. Selon l’art. 2 al. 1 de l’arrêté du 28 février 2008 du Conseil fédéral, la convention s’applique à tous les employeurs, toutes les entreprises et aux secteurs d’entreprises qui exécutent ou font exécuter, à titre principal ou accessoire, des travaux de second œuvre. Les dispositions d’une convention collective étendue en vertu de la LECCT acquièrent dans la branche concernée un effet normatif direct et il ne peut y être dérogé en défaveur du travailleur (Schweingruber/Bigler, Commentaire de la convention collective de travail, 2 ème éd., Berne 1973, n. 1 ad art. 4 LECCT, p. 91; Stöckli, Berner Kommentar, Berne 1999, n. 87 ad art. 356b CO, p. 218). La décision d'extension permet donc l'application d'une convention aux employeurs et aux travailleurs qui appartiennent à la branche économique ou à la profession visée et ne sont pas liés par cette convention (cf. art. 1 al. 1 LECCT). Pour savoir si une entreprise appartient à la branche économique ou à la profession visée et entre, de ce fait, dans le champ d'application de la CCNT étendue, il faut examiner de manière concrète l'activité généralement déployée par l'entreprise en cause. Seule doit être prise en considération, dans le cadre de cet examen, l'activité généralement exercée par l'employeur en question, c'est-à-dire celle qui caractérise son entreprise, et non pas une prestation de service exorbitante de sa sphère d'activité naturelle, qu'il pourra être amené à fournir à titre exceptionnel (ATF 134 I 269 c. 6.3.2; TF 4C.191/2006 du 17 août 2006 c. 2.2). Lorsqu'une entreprise exerce différents types d'activités, celle qui la caractérise est décisive pour déterminer sa soumission à telle ou telle convention collective de travail. Les entreprises visées par la déclaration d'extension doivent offrir des biens ou des services de même nature que les entreprises qui sont soumises contractuellement à la CCT; il doit exister un rapport de concurrence directe entre ces entreprises (TF 4A_491/2008 du 4 février 2009 c. 2.1; ATF 134 I 269 précité c. 6.3.2). Enfin, rien ne justifie d’interpréter extensivement une convention étendue, dès lors que la décision d’extension constitue déjà en soi une atteinte à la liberté du commerce et de l’industrie ainsi qu’à la liberté contractuelle (TF 4C.191/2006 précité c. 2.2 et les arrêts cités). Les dispositions concernant l'extension d'une convention ont un caractère normatif et sont en conséquence soumises aux règles régissant l'interprétation des textes de lois (ATF 127 III 318 c. 2a; TF 4P.49/2006 du 24 avril 2006 c. 3.3). Ainsi, ces dispositions doivent être interprétées en premier lieu selon leur lettre. Lorsque leur sens littéral est clair et univoque, l'autorité qui doit les appliquer est en principe liée (TF 4A_491/2008 précité c. 2.1; ATF 132 III 18 c. 4.1; ATF 131 III 606 c. 4.2). c) En l’espèce, l’intimée est active dans le domaine de l’éducation. C’est l’activité principale qu’elle déploie ordinairement. Elle reçoit chaque année des centaines d’étudiants, dont une partie en internat. Elle propose également des cours et des camps. Ces activités ne sont clairement pas en concurrence directe avec les entreprises concernées par les activités visées à l’article 2 al. 1 let. b de la CCT. Sur cette base et en application de la jurisprudence du Tribunal fédéral, on ne saurait y voir un employeur devant obligatoirement être soumis à la CCT étendue. Le recourant soutient également que cette soumission s’impose au vu de l’ampleur des travaux, l’intimée ayant engagé directement environ 48 ouvriers du bâtiment pour contourner les standards minimaux de la CCT, applicables aux entreprises du second oeuvre qu’elle n’a ainsi pas mandatées. Toutefois, comme on l’a vu, il faut examiner l’activité générale de l’employeur et non une activité spécifique exorbitante, sortant de sa sphère d’activité habituelle. Enfin, le recourant se réfère au texte même de l’article 2 al. 1 de la CCT et soutient que sa clarté littérale ne laisse pas de marge à une autre interprétation que celle d’une soumission à la CCT. A première vue, cette disposition laisse une possibilité d’interprétation allant tant dans un sens que dans l’autre. On pourrait effectivement retenir que l’intimée dispose d’un secteur composé d’ouvriers exécutant des travaux de second oeuvre et que ces employés devraient être soumis à la CCT. Toutefois, cette interprétation extensive de la disposition se heurterait à l’interprétation stricte qui résulte de la jurisprudence du Tribunal fédéral, pour les motifs évoqués plus haut. Cette jurisprudence n’aurait plus de sens si l’on suivait le recourant dans son interprétation de l’article 2 al. 1 CCT. d) Il résulte de ce qui précède que la solution du premier juge n'est pas critiquable et peut être confirmée. 5. 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23 juin 2010 Le dispositif de l'arrêt qui précède est communiqué par écrit aux intéressés. La greffière : Du L'arrêt qui précède, dont la rédaction a été approuvée à huis clos, est notifié en expédition complète, par l'envoi de photocopies, à : ‑ Me Nicolas Mattenberger, avocat (pour G.________), ‑ Me Samuel Pahud, avocat (pour H.________). La Chambre des recours considère que la valeur litigieuse est de 11'369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